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994820">
        <w:rPr>
          <w:b/>
          <w:spacing w:val="60"/>
          <w:sz w:val="28"/>
          <w:szCs w:val="28"/>
        </w:rPr>
        <w:t>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3875BF" w:rsidRPr="003875BF">
        <w:rPr>
          <w:b/>
          <w:spacing w:val="60"/>
          <w:sz w:val="28"/>
          <w:szCs w:val="28"/>
        </w:rPr>
        <w:t>32009132410</w:t>
      </w:r>
      <w:r w:rsidR="00BD2ED5" w:rsidRPr="00BD2ED5">
        <w:rPr>
          <w:b/>
          <w:spacing w:val="60"/>
          <w:sz w:val="28"/>
          <w:szCs w:val="28"/>
        </w:rPr>
        <w:t xml:space="preserve"> 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3875BF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3875BF" w:rsidRPr="003875BF">
        <w:rPr>
          <w:b/>
          <w:bCs/>
          <w:sz w:val="26"/>
          <w:szCs w:val="26"/>
        </w:rPr>
        <w:t>по обеспечению охраны ограждения и имущества, расположенного на земельном участке по адресу: Санк</w:t>
      </w:r>
      <w:r w:rsidR="003875BF">
        <w:rPr>
          <w:b/>
          <w:bCs/>
          <w:sz w:val="26"/>
          <w:szCs w:val="26"/>
        </w:rPr>
        <w:t xml:space="preserve">т-Петербург, Выборгский район, </w:t>
      </w:r>
      <w:r w:rsidR="003875BF" w:rsidRPr="003875BF">
        <w:rPr>
          <w:b/>
          <w:bCs/>
          <w:sz w:val="26"/>
          <w:szCs w:val="26"/>
        </w:rPr>
        <w:t>п. Парголово, ул. Вологдина, участок №6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994820">
        <w:rPr>
          <w:szCs w:val="20"/>
        </w:rPr>
        <w:t>21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994820">
        <w:rPr>
          <w:szCs w:val="20"/>
        </w:rPr>
        <w:t xml:space="preserve">мая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  <w:r w:rsidR="00141A80">
        <w:rPr>
          <w:szCs w:val="20"/>
        </w:rPr>
        <w:t>10</w:t>
      </w:r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6C99" w:rsidRDefault="003C6C99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B146D" w:rsidRPr="00744326" w:rsidRDefault="00AB146D" w:rsidP="00AB146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46571E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46571E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46571E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6C164B">
        <w:rPr>
          <w:b/>
        </w:rPr>
        <w:t>Еловченкова М.Н</w:t>
      </w:r>
      <w:r>
        <w:rPr>
          <w:b/>
        </w:rPr>
        <w:t>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46571E" w:rsidRDefault="0046571E" w:rsidP="0046571E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EC6BBA" w:rsidRDefault="00EC6BBA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C164B" w:rsidRPr="00744326" w:rsidRDefault="006C164B" w:rsidP="006C164B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6C164B" w:rsidRDefault="006C164B" w:rsidP="006C164B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C164B" w:rsidRDefault="006C164B" w:rsidP="006C164B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C164B" w:rsidRDefault="006C164B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C164B" w:rsidRDefault="006B7F17" w:rsidP="006C164B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  </w:t>
      </w:r>
      <w:r w:rsidR="006C164B" w:rsidRPr="00744326">
        <w:t>Члены комиссии:</w:t>
      </w:r>
    </w:p>
    <w:p w:rsidR="006C164B" w:rsidRDefault="006C164B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287DEC" w:rsidRDefault="00287DEC" w:rsidP="00287DE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C164B" w:rsidRDefault="0082072C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744326">
        <w:rPr>
          <w:b/>
        </w:rPr>
        <w:t>Петряхина Н.В.</w:t>
      </w:r>
      <w:r w:rsidR="006C164B" w:rsidRPr="00744326">
        <w:t>, директор финансового департамента;</w:t>
      </w:r>
    </w:p>
    <w:p w:rsidR="00362BEF" w:rsidRPr="00744326" w:rsidRDefault="00362BEF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C164B" w:rsidRPr="00A069E1" w:rsidRDefault="00546165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A069E1">
        <w:rPr>
          <w:b/>
        </w:rPr>
        <w:t>Цветкова С.П.</w:t>
      </w:r>
      <w:r w:rsidR="006C164B" w:rsidRPr="00A069E1">
        <w:t xml:space="preserve">,  </w:t>
      </w:r>
      <w:r w:rsidR="006C164B">
        <w:t xml:space="preserve"> </w:t>
      </w:r>
      <w:r w:rsidR="006C164B" w:rsidRPr="00A069E1">
        <w:t>директор административного департамента;</w:t>
      </w:r>
    </w:p>
    <w:p w:rsidR="006C164B" w:rsidRDefault="006C164B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C164B" w:rsidRDefault="006C164B" w:rsidP="006C164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132E5F" w:rsidP="004A4DB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9D69C7" w:rsidRDefault="009D69C7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62BEF" w:rsidRPr="00A90F0B" w:rsidRDefault="00344B03" w:rsidP="00972A76">
      <w:pPr>
        <w:spacing w:after="100"/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3875BF" w:rsidRPr="003875BF">
        <w:rPr>
          <w:bCs/>
        </w:rPr>
        <w:t>по обеспечению охраны ограждения и имущества, расположенного на земельном участке по адресу: Санк</w:t>
      </w:r>
      <w:r w:rsidR="003875BF">
        <w:rPr>
          <w:bCs/>
        </w:rPr>
        <w:t xml:space="preserve">т-Петербург, Выборгский район, </w:t>
      </w:r>
      <w:r w:rsidR="003875BF" w:rsidRPr="003875BF">
        <w:rPr>
          <w:bCs/>
        </w:rPr>
        <w:t>п. Парголово, ул. Вологдина, участок №6</w:t>
      </w:r>
      <w:r w:rsidR="00FE190D">
        <w:rPr>
          <w:bCs/>
        </w:rPr>
        <w:t>.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CD59B6" w:rsidRDefault="00CD59B6" w:rsidP="00362BEF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3875BF" w:rsidRPr="003875BF">
        <w:t>4</w:t>
      </w:r>
      <w:r w:rsidRPr="006250F3">
        <w:t xml:space="preserve"> (</w:t>
      </w:r>
      <w:r w:rsidR="003875BF">
        <w:t>четыре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FE190D" w:rsidRPr="006250F3" w:rsidRDefault="00FE190D" w:rsidP="00972A76">
      <w:pPr>
        <w:spacing w:after="100"/>
        <w:ind w:firstLine="709"/>
        <w:jc w:val="both"/>
        <w:rPr>
          <w:szCs w:val="20"/>
        </w:rPr>
      </w:pPr>
    </w:p>
    <w:p w:rsidR="0086172E" w:rsidRDefault="0086172E" w:rsidP="00972A76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972A76" w:rsidRDefault="00972A76" w:rsidP="002E562D">
      <w:pPr>
        <w:tabs>
          <w:tab w:val="left" w:pos="5550"/>
        </w:tabs>
        <w:ind w:firstLine="709"/>
        <w:jc w:val="both"/>
      </w:pP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4111"/>
        <w:gridCol w:w="3401"/>
      </w:tblGrid>
      <w:tr w:rsidR="00344B03" w:rsidRPr="00744326" w:rsidTr="003875BF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1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875BF" w:rsidRPr="00744326" w:rsidTr="003875BF">
        <w:trPr>
          <w:trHeight w:val="1102"/>
        </w:trPr>
        <w:tc>
          <w:tcPr>
            <w:tcW w:w="567" w:type="dxa"/>
            <w:shd w:val="clear" w:color="auto" w:fill="auto"/>
            <w:vAlign w:val="center"/>
          </w:tcPr>
          <w:p w:rsidR="003875BF" w:rsidRPr="0082072C" w:rsidRDefault="003875BF" w:rsidP="003875BF">
            <w:pPr>
              <w:jc w:val="center"/>
            </w:pPr>
            <w:r w:rsidRPr="0082072C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7059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13.05.2020 13:40:47</w:t>
            </w:r>
          </w:p>
        </w:tc>
        <w:tc>
          <w:tcPr>
            <w:tcW w:w="4111" w:type="dxa"/>
            <w:vAlign w:val="center"/>
          </w:tcPr>
          <w:p w:rsidR="003875BF" w:rsidRPr="0082072C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D59B6" w:rsidRDefault="00CD59B6" w:rsidP="003875BF">
            <w:pPr>
              <w:jc w:val="center"/>
            </w:pPr>
          </w:p>
          <w:p w:rsidR="003875BF" w:rsidRDefault="003875BF" w:rsidP="003875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E190D" w:rsidRPr="0082072C" w:rsidRDefault="00FE190D" w:rsidP="003875BF">
            <w:pPr>
              <w:jc w:val="center"/>
            </w:pPr>
          </w:p>
        </w:tc>
      </w:tr>
      <w:tr w:rsidR="003875BF" w:rsidRPr="00744326" w:rsidTr="003875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75BF" w:rsidRPr="0082072C" w:rsidRDefault="003875BF" w:rsidP="003875BF">
            <w:pPr>
              <w:jc w:val="center"/>
            </w:pPr>
            <w:r w:rsidRPr="0082072C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2233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15.05.2020 11:58:13</w:t>
            </w:r>
          </w:p>
        </w:tc>
        <w:tc>
          <w:tcPr>
            <w:tcW w:w="4111" w:type="dxa"/>
            <w:vAlign w:val="center"/>
          </w:tcPr>
          <w:p w:rsidR="003875BF" w:rsidRPr="0082072C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D59B6" w:rsidRDefault="00CD59B6" w:rsidP="003875BF">
            <w:pPr>
              <w:jc w:val="center"/>
            </w:pPr>
          </w:p>
          <w:p w:rsidR="003875BF" w:rsidRDefault="003875BF" w:rsidP="003875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E190D" w:rsidRPr="0082072C" w:rsidRDefault="00FE190D" w:rsidP="003875BF">
            <w:pPr>
              <w:jc w:val="center"/>
            </w:pPr>
          </w:p>
        </w:tc>
      </w:tr>
      <w:tr w:rsidR="003875BF" w:rsidRPr="00744326" w:rsidTr="003875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75BF" w:rsidRPr="0082072C" w:rsidRDefault="003875BF" w:rsidP="003875BF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3095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15.05.2020 15:15:30</w:t>
            </w:r>
          </w:p>
        </w:tc>
        <w:tc>
          <w:tcPr>
            <w:tcW w:w="4111" w:type="dxa"/>
            <w:vAlign w:val="center"/>
          </w:tcPr>
          <w:p w:rsidR="003875BF" w:rsidRPr="0082072C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D59B6" w:rsidRDefault="00CD59B6" w:rsidP="003875BF">
            <w:pPr>
              <w:jc w:val="center"/>
            </w:pPr>
          </w:p>
          <w:p w:rsidR="003875BF" w:rsidRDefault="003875BF" w:rsidP="003875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E190D" w:rsidRPr="0082072C" w:rsidRDefault="00FE190D" w:rsidP="003875BF">
            <w:pPr>
              <w:jc w:val="center"/>
            </w:pPr>
          </w:p>
        </w:tc>
      </w:tr>
      <w:tr w:rsidR="003875BF" w:rsidRPr="00744326" w:rsidTr="003875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875BF" w:rsidRPr="0082072C" w:rsidRDefault="003875BF" w:rsidP="003875BF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8499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E190D" w:rsidRDefault="003875BF" w:rsidP="003875BF">
            <w:pPr>
              <w:spacing w:after="150"/>
              <w:jc w:val="center"/>
            </w:pPr>
            <w:r w:rsidRPr="00FE190D">
              <w:t>18.05.2020 09:34:54</w:t>
            </w:r>
          </w:p>
        </w:tc>
        <w:tc>
          <w:tcPr>
            <w:tcW w:w="4111" w:type="dxa"/>
            <w:vAlign w:val="center"/>
          </w:tcPr>
          <w:p w:rsidR="003875BF" w:rsidRPr="0082072C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D59B6" w:rsidRDefault="00CD59B6" w:rsidP="003875BF">
            <w:pPr>
              <w:jc w:val="center"/>
            </w:pPr>
          </w:p>
          <w:p w:rsidR="003875BF" w:rsidRDefault="003875BF" w:rsidP="003875B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FE190D" w:rsidRPr="0082072C" w:rsidRDefault="00FE190D" w:rsidP="003875BF">
            <w:pPr>
              <w:jc w:val="center"/>
            </w:pPr>
          </w:p>
        </w:tc>
      </w:tr>
    </w:tbl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62BEF">
        <w:rPr>
          <w:szCs w:val="20"/>
        </w:rPr>
        <w:t>9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9D69C7" w:rsidRDefault="009D69C7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0B760C" w:rsidRDefault="006764C0" w:rsidP="00FE190D">
      <w:pPr>
        <w:spacing w:after="100"/>
        <w:ind w:firstLine="709"/>
        <w:jc w:val="both"/>
      </w:pPr>
      <w:r w:rsidRPr="004C3606">
        <w:rPr>
          <w:b/>
          <w:szCs w:val="20"/>
        </w:rPr>
        <w:t>6. Р</w:t>
      </w:r>
      <w:bookmarkStart w:id="0" w:name="_GoBack"/>
      <w:bookmarkEnd w:id="0"/>
      <w:r w:rsidRPr="004C3606">
        <w:rPr>
          <w:b/>
          <w:szCs w:val="20"/>
        </w:rPr>
        <w:t>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 xml:space="preserve">и заявок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FE190D">
        <w:t xml:space="preserve">на право </w:t>
      </w:r>
      <w:r w:rsidR="00FE190D">
        <w:rPr>
          <w:bCs/>
        </w:rPr>
        <w:t>оказания</w:t>
      </w:r>
      <w:r w:rsidR="00FE190D" w:rsidRPr="00733F58">
        <w:rPr>
          <w:bCs/>
        </w:rPr>
        <w:t xml:space="preserve"> услуг </w:t>
      </w:r>
      <w:r w:rsidR="00FE190D" w:rsidRPr="003875BF">
        <w:rPr>
          <w:bCs/>
        </w:rPr>
        <w:t>по обеспечению охраны ограждения и имущества, расположенного на земельном участке по адресу: Санк</w:t>
      </w:r>
      <w:r w:rsidR="00FE190D">
        <w:rPr>
          <w:bCs/>
        </w:rPr>
        <w:t xml:space="preserve">т-Петербург, Выборгский район, </w:t>
      </w:r>
      <w:r w:rsidR="00FE190D" w:rsidRPr="003875BF">
        <w:rPr>
          <w:bCs/>
        </w:rPr>
        <w:t>п. Парголово, ул. Вологдина, участок №6</w:t>
      </w:r>
      <w:r w:rsidR="00FE190D">
        <w:rPr>
          <w:bCs/>
        </w:rPr>
        <w:t xml:space="preserve">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>тации о закупке и допустить</w:t>
      </w:r>
      <w:r w:rsidR="008363FE">
        <w:t xml:space="preserve"> </w:t>
      </w:r>
      <w:r w:rsidR="0082072C">
        <w:t>всех</w:t>
      </w:r>
      <w:r w:rsidR="00011E80">
        <w:t xml:space="preserve"> </w:t>
      </w:r>
      <w:r w:rsidR="001D7549">
        <w:t>участник</w:t>
      </w:r>
      <w:r w:rsidR="00132E5F">
        <w:t>ов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72B1A"/>
    <w:rsid w:val="00374B3D"/>
    <w:rsid w:val="003875BF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4E79"/>
    <w:rsid w:val="00994820"/>
    <w:rsid w:val="00994E30"/>
    <w:rsid w:val="00997667"/>
    <w:rsid w:val="009A2374"/>
    <w:rsid w:val="009A5833"/>
    <w:rsid w:val="009A61C6"/>
    <w:rsid w:val="009B1E7E"/>
    <w:rsid w:val="009D69C7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7A66"/>
    <w:rsid w:val="00BC0AE3"/>
    <w:rsid w:val="00BC2FD2"/>
    <w:rsid w:val="00BD093C"/>
    <w:rsid w:val="00BD2ED5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D993-D14A-4708-9F15-B98CF0D3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46</cp:revision>
  <cp:lastPrinted>2019-12-19T07:55:00Z</cp:lastPrinted>
  <dcterms:created xsi:type="dcterms:W3CDTF">2018-06-19T08:56:00Z</dcterms:created>
  <dcterms:modified xsi:type="dcterms:W3CDTF">2020-05-21T07:03:00Z</dcterms:modified>
</cp:coreProperties>
</file>