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3AEE70D3"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3B59DB">
        <w:rPr>
          <w:rFonts w:ascii="Times New Roman" w:hAnsi="Times New Roman" w:cs="Times New Roman"/>
          <w:b/>
          <w:sz w:val="28"/>
          <w:szCs w:val="28"/>
        </w:rPr>
        <w:t xml:space="preserve"> 7</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180509"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bookmarkStart w:id="0" w:name="_GoBack"/>
        <w:bookmarkEnd w:id="0"/>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017CC1" w:rsidRDefault="008D7378" w:rsidP="008D7378">
            <w:pPr>
              <w:pStyle w:val="ConsPlusCell"/>
              <w:shd w:val="clear" w:color="auto" w:fill="FFFFFF" w:themeFill="background1"/>
              <w:jc w:val="center"/>
              <w:rPr>
                <w:rFonts w:ascii="Times New Roman" w:hAnsi="Times New Roman" w:cs="Times New Roman"/>
                <w:bCs/>
                <w:sz w:val="18"/>
                <w:szCs w:val="24"/>
              </w:rPr>
            </w:pPr>
            <w:r w:rsidRPr="00AB1EF4">
              <w:rPr>
                <w:rFonts w:ascii="Times New Roman" w:hAnsi="Times New Roman" w:cs="Times New Roman"/>
                <w:sz w:val="18"/>
                <w:szCs w:val="18"/>
                <w:highlight w:val="yellow"/>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44AEB64D" w14:textId="5AE5D849"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702271" w:rsidRDefault="00600C96" w:rsidP="00ED70D9">
            <w:pPr>
              <w:pStyle w:val="ConsPlusCell"/>
              <w:shd w:val="clear" w:color="auto" w:fill="FFFFFF"/>
              <w:jc w:val="center"/>
              <w:rPr>
                <w:rFonts w:ascii="Times New Roman" w:hAnsi="Times New Roman" w:cs="Times New Roman"/>
                <w:sz w:val="18"/>
                <w:szCs w:val="18"/>
              </w:rPr>
            </w:pPr>
            <w:r w:rsidRPr="00600C96">
              <w:rPr>
                <w:rFonts w:ascii="Times New Roman" w:hAnsi="Times New Roman" w:cs="Times New Roman"/>
                <w:bCs/>
                <w:sz w:val="18"/>
                <w:szCs w:val="18"/>
                <w:highlight w:val="yellow"/>
              </w:rPr>
              <w:t>2 222 309,52</w:t>
            </w:r>
            <w:r w:rsidR="00ED70D9" w:rsidRPr="00702271">
              <w:rPr>
                <w:rFonts w:ascii="Times New Roman" w:hAnsi="Times New Roman" w:cs="Times New Roman"/>
                <w:bCs/>
                <w:sz w:val="18"/>
                <w:szCs w:val="18"/>
              </w:rPr>
              <w:t xml:space="preserve"> </w:t>
            </w:r>
          </w:p>
          <w:p w14:paraId="139E7717"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9262C6E" w14:textId="1970CC30"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5507A6">
              <w:rPr>
                <w:rFonts w:ascii="Times New Roman" w:hAnsi="Times New Roman" w:cs="Times New Roman"/>
                <w:sz w:val="18"/>
                <w:szCs w:val="18"/>
                <w:highlight w:val="yellow"/>
              </w:rPr>
              <w:t>17</w:t>
            </w:r>
          </w:p>
        </w:tc>
        <w:tc>
          <w:tcPr>
            <w:tcW w:w="850" w:type="dxa"/>
            <w:tcBorders>
              <w:top w:val="single" w:sz="4" w:space="0" w:color="auto"/>
              <w:left w:val="single" w:sz="4" w:space="0" w:color="auto"/>
              <w:bottom w:val="single" w:sz="4" w:space="0" w:color="auto"/>
              <w:right w:val="single" w:sz="4" w:space="0" w:color="auto"/>
            </w:tcBorders>
          </w:tcPr>
          <w:p w14:paraId="78836760" w14:textId="7ECB29AB"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6421D1E6" w14:textId="530A9429" w:rsidR="00F87A37" w:rsidRPr="0016003D"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07E407F" w14:textId="452FEB76" w:rsidR="00F87A37" w:rsidRPr="007F3EB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tcPr>
          <w:p w14:paraId="067CF6BF" w14:textId="2271B0F0" w:rsidR="00F87A37" w:rsidRPr="008632FD"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312B01E" w14:textId="7E9DB09D"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EFB2CBE" w14:textId="028D778B"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4F07EA6" w14:textId="082FB065"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9376493" w14:textId="288EBC35"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D1A0CB4" w14:textId="06D6F97E"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664329" w14:textId="7F3C92A6" w:rsidR="00F87A37" w:rsidRPr="005507A6" w:rsidRDefault="00F87A37" w:rsidP="00F87A37">
            <w:pPr>
              <w:pStyle w:val="ConsPlusCell"/>
              <w:shd w:val="clear" w:color="auto" w:fill="FFFFFF"/>
              <w:jc w:val="center"/>
              <w:rPr>
                <w:rFonts w:ascii="Times New Roman" w:hAnsi="Times New Roman" w:cs="Times New Roman"/>
                <w:bCs/>
                <w:sz w:val="18"/>
                <w:szCs w:val="18"/>
              </w:rPr>
            </w:pPr>
            <w:r w:rsidRPr="005507A6">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tcPr>
          <w:p w14:paraId="68EE0784" w14:textId="77777777" w:rsidR="00F87A37" w:rsidRDefault="00F87A37" w:rsidP="00F87A37">
            <w:pPr>
              <w:pStyle w:val="ConsPlusCell"/>
              <w:shd w:val="clear" w:color="auto" w:fill="FFFFFF" w:themeFill="background1"/>
              <w:jc w:val="center"/>
              <w:rPr>
                <w:rFonts w:ascii="Times New Roman" w:hAnsi="Times New Roman"/>
                <w:sz w:val="18"/>
                <w:szCs w:val="18"/>
              </w:rPr>
            </w:pPr>
            <w:r w:rsidRPr="007240D5">
              <w:rPr>
                <w:rFonts w:ascii="Times New Roman" w:hAnsi="Times New Roman"/>
                <w:sz w:val="18"/>
                <w:szCs w:val="18"/>
                <w:highlight w:val="yellow"/>
              </w:rPr>
              <w:t>Март</w:t>
            </w:r>
            <w:r w:rsidRPr="00C46332">
              <w:rPr>
                <w:rFonts w:ascii="Times New Roman" w:hAnsi="Times New Roman"/>
                <w:sz w:val="18"/>
                <w:szCs w:val="18"/>
              </w:rPr>
              <w:t xml:space="preserve"> </w:t>
            </w:r>
          </w:p>
          <w:p w14:paraId="4D2B59C7" w14:textId="6EF2853A" w:rsidR="00F87A37" w:rsidRDefault="00F87A37" w:rsidP="00F87A37">
            <w:pPr>
              <w:pStyle w:val="ConsPlusCell"/>
              <w:shd w:val="clear" w:color="auto" w:fill="FFFFFF" w:themeFill="background1"/>
              <w:jc w:val="center"/>
              <w:rPr>
                <w:rFonts w:ascii="Times New Roman" w:hAnsi="Times New Roman"/>
                <w:sz w:val="18"/>
                <w:szCs w:val="18"/>
              </w:rPr>
            </w:pPr>
            <w:r w:rsidRPr="00C46332">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17560C15"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56E25B1B"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4CE0090" w14:textId="77777777" w:rsidR="00F87A37" w:rsidRPr="00461F4E" w:rsidRDefault="00F87A37" w:rsidP="00F87A37">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755B69" w14:textId="77777777" w:rsidR="00F87A37" w:rsidRPr="0016003D"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2C40A450" w14:textId="2DF8616A" w:rsidR="00F87A37" w:rsidRPr="007F3EB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6EC4A62" w14:textId="2CBDF5D4" w:rsidR="00F87A37" w:rsidRPr="008632FD"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1EE69B7" w14:textId="0E8C8316"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3F8D97E4"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3608E8CF"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0ED82505"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510DFCD"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3666AAD" w:rsidR="00F87A37" w:rsidRDefault="00F87A37" w:rsidP="00F87A37">
            <w:pPr>
              <w:pStyle w:val="ConsPlusCell"/>
              <w:shd w:val="clear" w:color="auto" w:fill="FFFFFF"/>
              <w:jc w:val="center"/>
              <w:rPr>
                <w:rFonts w:ascii="Times New Roman" w:hAnsi="Times New Roman" w:cs="Times New Roman"/>
                <w:bCs/>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58DFEA19" w14:textId="0FE1F901" w:rsidR="00F87A37" w:rsidRDefault="00F87A37" w:rsidP="00F87A37">
            <w:pPr>
              <w:pStyle w:val="ConsPlusCell"/>
              <w:shd w:val="clear" w:color="auto" w:fill="FFFFFF" w:themeFill="background1"/>
              <w:jc w:val="center"/>
              <w:rPr>
                <w:rFonts w:ascii="Times New Roman" w:hAnsi="Times New Roman"/>
                <w:sz w:val="18"/>
                <w:szCs w:val="18"/>
              </w:rPr>
            </w:pPr>
            <w:r w:rsidRPr="003B59DB">
              <w:rPr>
                <w:rFonts w:ascii="Times New Roman" w:hAnsi="Times New Roman" w:cs="Times New Roman"/>
                <w:sz w:val="18"/>
                <w:szCs w:val="18"/>
                <w:highlight w:val="yellow"/>
              </w:rPr>
              <w:t>Апрель</w:t>
            </w: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2124965A" w14:textId="2B4487D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2026</w:t>
            </w:r>
          </w:p>
        </w:tc>
        <w:tc>
          <w:tcPr>
            <w:tcW w:w="1356" w:type="dxa"/>
            <w:tcBorders>
              <w:top w:val="single" w:sz="4" w:space="0" w:color="auto"/>
              <w:left w:val="single" w:sz="4" w:space="0" w:color="auto"/>
              <w:bottom w:val="single" w:sz="4" w:space="0" w:color="auto"/>
              <w:right w:val="single" w:sz="4" w:space="0" w:color="auto"/>
            </w:tcBorders>
          </w:tcPr>
          <w:p w14:paraId="13A8C94C" w14:textId="482662CA"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D3F30D7" w14:textId="03A8B40E"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7A103A4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B99852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1A4449C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1F034EA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38EF2051" w14:textId="4441EFC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5FCA125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1699A85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Май,</w:t>
            </w:r>
          </w:p>
          <w:p w14:paraId="318CA178" w14:textId="32D4D34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1FDABE63"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F87A37" w:rsidRPr="005437EF"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F87A37" w:rsidRPr="005437EF"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9A612B9" w14:textId="17F0E204" w:rsidR="00F87A37" w:rsidRDefault="00F87A37" w:rsidP="00F87A37">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F87A37" w:rsidRPr="008632FD" w:rsidRDefault="00F87A37" w:rsidP="00F87A37">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F87A37" w:rsidRPr="00F31AAF" w:rsidRDefault="00F87A37" w:rsidP="00F87A37">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77777777" w:rsidR="00F87A37" w:rsidRDefault="00F87A37" w:rsidP="00F87A37">
            <w:pPr>
              <w:pStyle w:val="ConsPlusCell"/>
              <w:shd w:val="clear" w:color="auto" w:fill="FFFFFF" w:themeFill="background1"/>
              <w:jc w:val="center"/>
              <w:rPr>
                <w:rFonts w:ascii="Times New Roman" w:hAnsi="Times New Roman"/>
                <w:sz w:val="18"/>
                <w:szCs w:val="18"/>
              </w:rPr>
            </w:pPr>
            <w:r w:rsidRPr="00CF486D">
              <w:rPr>
                <w:rFonts w:ascii="Times New Roman" w:hAnsi="Times New Roman"/>
                <w:sz w:val="18"/>
                <w:szCs w:val="18"/>
                <w:highlight w:val="yellow"/>
              </w:rPr>
              <w:t>Май</w:t>
            </w:r>
          </w:p>
          <w:p w14:paraId="0FEF39AD" w14:textId="0F5A4880"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F87A37" w:rsidRPr="001B2E62" w:rsidRDefault="00F87A37" w:rsidP="00F87A37">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25C68DB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4D3796B2"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F87A37" w:rsidRDefault="00F87A37" w:rsidP="00F87A37">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F87A37" w:rsidRDefault="00F87A37" w:rsidP="00F87A37">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lastRenderedPageBreak/>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F87A37" w:rsidRPr="008632FD" w:rsidRDefault="00F87A37" w:rsidP="00F87A37">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F87A37" w:rsidRPr="00613337" w:rsidRDefault="00F87A37" w:rsidP="00F87A37">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689D161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F87A37" w:rsidRPr="008D4EE8" w:rsidRDefault="00F87A37" w:rsidP="00F87A37">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F87A37" w:rsidRPr="00880143" w:rsidRDefault="00F87A37" w:rsidP="00F87A37">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4FCDF7CF"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F87A37" w:rsidRPr="0082577C" w:rsidRDefault="00F87A37" w:rsidP="00F87A37">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F87A37" w:rsidRPr="009F635A" w:rsidRDefault="00F87A37" w:rsidP="00F87A37">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F87A37" w:rsidRPr="009F635A" w:rsidRDefault="00F87A37" w:rsidP="00F87A37">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87A37"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36078968"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F87A37" w:rsidRPr="0082577C" w:rsidRDefault="00F87A37" w:rsidP="00F87A37">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F87A37" w:rsidRPr="009F635A" w:rsidRDefault="00F87A37" w:rsidP="00F87A37">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F87A37" w:rsidRPr="009F635A" w:rsidRDefault="00F87A37" w:rsidP="00F87A37">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87A37"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7E6AC62F"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F87A37" w:rsidRPr="0082577C" w:rsidRDefault="00F87A37" w:rsidP="00F87A37">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F87A37" w:rsidRPr="009F635A" w:rsidRDefault="00F87A37" w:rsidP="00F87A37">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F87A37" w:rsidRPr="009F635A" w:rsidRDefault="00F87A37" w:rsidP="00F87A37">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87A37"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004A4068"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F87A37" w:rsidRPr="0082577C" w:rsidRDefault="00F87A37" w:rsidP="00F87A37">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w:t>
            </w:r>
            <w:r w:rsidRPr="0082577C">
              <w:rPr>
                <w:rFonts w:ascii="Times New Roman" w:eastAsiaTheme="minorHAnsi" w:hAnsi="Times New Roman" w:cs="Times New Roman"/>
                <w:color w:val="000000"/>
                <w:sz w:val="18"/>
                <w:szCs w:val="18"/>
                <w:lang w:eastAsia="en-US"/>
              </w:rPr>
              <w:lastRenderedPageBreak/>
              <w:t>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F87A37" w:rsidRPr="009F635A" w:rsidRDefault="00F87A37" w:rsidP="00F87A37">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F87A37" w:rsidRPr="009F635A" w:rsidRDefault="00F87A37" w:rsidP="00F87A37">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87A37"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50A90D8D"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F87A37" w:rsidRPr="0082577C" w:rsidRDefault="00F87A37" w:rsidP="00F87A37">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F87A37" w:rsidRPr="00B51533" w:rsidRDefault="00F87A37" w:rsidP="00F87A37">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F87A37" w:rsidRPr="00B51533" w:rsidRDefault="00F87A37" w:rsidP="00F87A3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F87A37" w:rsidRDefault="00F87A37" w:rsidP="00F87A37">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4CE938C8"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F87A37" w:rsidRPr="0082577C" w:rsidRDefault="00F87A37" w:rsidP="00F87A37">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xml:space="preserve">" (Кировский городок) по адресу: Санкт-Петербург, пр. </w:t>
            </w:r>
            <w:r w:rsidRPr="0082577C">
              <w:rPr>
                <w:rFonts w:ascii="Times New Roman" w:eastAsiaTheme="minorHAnsi" w:hAnsi="Times New Roman" w:cs="Times New Roman"/>
                <w:color w:val="000000"/>
                <w:sz w:val="18"/>
                <w:szCs w:val="18"/>
                <w:lang w:eastAsia="en-US"/>
              </w:rPr>
              <w:lastRenderedPageBreak/>
              <w:t>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F87A37" w:rsidRPr="00B51533" w:rsidRDefault="00F87A37" w:rsidP="00F87A37">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2185470E" w14:textId="7777777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F87A37" w:rsidRPr="00B51533" w:rsidRDefault="00F87A37" w:rsidP="00F87A3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F87A37" w:rsidRDefault="00F87A37" w:rsidP="00F87A37">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3B9E4287" w:rsidR="00F87A37"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F87A37" w:rsidRDefault="00F87A37" w:rsidP="00F87A37">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F87A37" w:rsidRPr="0082577C"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F87A37" w:rsidRPr="00B51533" w:rsidRDefault="00F87A37" w:rsidP="00F87A37">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F87A37" w:rsidRPr="005E360E"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F87A37" w:rsidRPr="00B51533" w:rsidRDefault="00F87A37" w:rsidP="00F87A3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F87A37" w:rsidRPr="00B51533" w:rsidRDefault="00F87A37" w:rsidP="00F87A37">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F87A37" w:rsidRPr="00B51533" w:rsidRDefault="00F87A37" w:rsidP="00F87A37">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F87A37" w:rsidRPr="00613337" w:rsidRDefault="00F87A37" w:rsidP="00F87A37">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F87A37" w:rsidRDefault="00F87A37" w:rsidP="00F87A37">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4B5DE1F5"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F87A37" w:rsidRPr="0082577C" w:rsidRDefault="00F87A37" w:rsidP="00F87A37">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F87A37" w:rsidRPr="00B51533" w:rsidRDefault="00F87A37" w:rsidP="00F87A37">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F87A37" w:rsidRPr="00B51533" w:rsidRDefault="00F87A37" w:rsidP="00F87A3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F87A37" w:rsidRDefault="00F87A37" w:rsidP="00F87A37">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F87A37" w:rsidRDefault="00F87A37" w:rsidP="00F87A37">
            <w:pPr>
              <w:pStyle w:val="ConsPlusNonformat"/>
              <w:rPr>
                <w:rFonts w:ascii="Times New Roman" w:hAnsi="Times New Roman" w:cs="Times New Roman"/>
                <w:sz w:val="18"/>
                <w:szCs w:val="18"/>
              </w:rPr>
            </w:pPr>
          </w:p>
          <w:p w14:paraId="273D88CD" w14:textId="7777777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4E04C8A2"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68DAB470"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17794C2A" w:rsidR="00F87A37" w:rsidRPr="008D4EE8" w:rsidRDefault="003F672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F87A37" w:rsidRPr="00702271"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4B2F610A"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17232">
        <w:rPr>
          <w:rFonts w:ascii="Times New Roman" w:hAnsi="Times New Roman" w:cs="Times New Roman"/>
          <w:sz w:val="24"/>
          <w:szCs w:val="24"/>
        </w:rPr>
        <w:t xml:space="preserve">1 822 414 622,79 </w:t>
      </w:r>
      <w:r w:rsidRPr="00461F4E">
        <w:rPr>
          <w:rFonts w:ascii="Times New Roman" w:eastAsia="Times New Roman" w:hAnsi="Times New Roman" w:cs="Times New Roman"/>
          <w:sz w:val="24"/>
          <w:szCs w:val="24"/>
        </w:rPr>
        <w:t xml:space="preserve">рублей. </w:t>
      </w:r>
    </w:p>
    <w:p w14:paraId="2A190DDD" w14:textId="2E7BE463"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A17232">
        <w:rPr>
          <w:rFonts w:ascii="Times New Roman" w:hAnsi="Times New Roman" w:cs="Times New Roman"/>
          <w:sz w:val="24"/>
          <w:szCs w:val="24"/>
        </w:rPr>
        <w:t>39 677 477,47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5A9B92E9"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1 426</w:t>
      </w:r>
      <w:r w:rsidR="00246BEA">
        <w:rPr>
          <w:rFonts w:ascii="Times New Roman" w:hAnsi="Times New Roman" w:cs="Times New Roman"/>
          <w:sz w:val="24"/>
          <w:szCs w:val="24"/>
        </w:rPr>
        <w:t> 776 019,24</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D109F4">
        <w:rPr>
          <w:rFonts w:ascii="Times New Roman" w:eastAsia="Times New Roman" w:hAnsi="Times New Roman" w:cs="Times New Roman"/>
          <w:sz w:val="24"/>
          <w:szCs w:val="24"/>
          <w:lang w:eastAsia="ru-RU"/>
        </w:rPr>
        <w:t>80,03</w:t>
      </w:r>
      <w:r w:rsidR="000B3D3E">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w:t>
            </w:r>
            <w:r w:rsidRPr="00DE0BC4">
              <w:rPr>
                <w:rFonts w:ascii="Times New Roman" w:hAnsi="Times New Roman" w:cs="Times New Roman"/>
                <w:sz w:val="18"/>
                <w:szCs w:val="18"/>
              </w:rPr>
              <w:lastRenderedPageBreak/>
              <w:t>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 xml:space="preserve">Выполнение работ по капитальному ремонту инженерных сетей </w:t>
            </w:r>
            <w:r>
              <w:rPr>
                <w:rFonts w:ascii="Times New Roman" w:hAnsi="Times New Roman" w:cs="Times New Roman"/>
                <w:sz w:val="18"/>
                <w:szCs w:val="18"/>
              </w:rPr>
              <w:lastRenderedPageBreak/>
              <w:t>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2FE097A2" w:rsidR="00D109F4" w:rsidRPr="00461F4E"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D109F4" w:rsidRPr="00461F4E" w:rsidRDefault="00D109F4" w:rsidP="00D109F4">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D109F4" w:rsidRPr="00461F4E"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D109F4" w:rsidRPr="00461F4E" w:rsidRDefault="00D109F4" w:rsidP="00D109F4">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0C15DA9"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6 552 </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6CC2EB71"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4F245559" w14:textId="2B844B21"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3FEB0E06" w14:textId="0E99120A" w:rsidR="00CF486D"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155B338" w14:textId="77777777" w:rsidR="00CF486D" w:rsidRPr="00461F4E" w:rsidRDefault="00CF486D" w:rsidP="00CF486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85DC17" w14:textId="77777777" w:rsidR="00CF486D"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592504" w14:textId="6FC93DEA" w:rsidR="00CF486D" w:rsidRDefault="00CF486D" w:rsidP="00CF486D">
            <w:pPr>
              <w:pStyle w:val="ConsPlusNonformat"/>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67EDC8F1" w14:textId="16591A4B" w:rsidR="00CF486D" w:rsidRPr="008632FD" w:rsidRDefault="00CF486D" w:rsidP="00CF486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842B220" w14:textId="73527274" w:rsidR="00CF486D" w:rsidRPr="00461F4E" w:rsidRDefault="00CF486D" w:rsidP="00CF48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1B830AC" w14:textId="3CFDC9B9" w:rsidR="00CF486D" w:rsidRDefault="00CF486D" w:rsidP="00CF486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22FEF0E" w14:textId="6F30822A" w:rsidR="00CF486D" w:rsidRDefault="00CF486D" w:rsidP="00CF48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3F2CB3E" w14:textId="32FE7BCC" w:rsidR="00CF486D" w:rsidRPr="00461F4E" w:rsidRDefault="00CF486D" w:rsidP="00CF48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46BFD96" w14:textId="67E0025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DEC4B44" w14:textId="17C7D85F" w:rsidR="00CF486D"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68C47087" w14:textId="172F55ED" w:rsidR="00CF486D" w:rsidRPr="00264A75" w:rsidRDefault="00CF486D" w:rsidP="00CF486D">
            <w:pPr>
              <w:pStyle w:val="ConsPlusCell"/>
              <w:shd w:val="clear" w:color="auto" w:fill="FFFFFF" w:themeFill="background1"/>
              <w:jc w:val="center"/>
              <w:rPr>
                <w:rFonts w:ascii="Times New Roman" w:hAnsi="Times New Roman" w:cs="Times New Roman"/>
                <w:sz w:val="18"/>
                <w:szCs w:val="18"/>
                <w:highlight w:val="yellow"/>
              </w:rPr>
            </w:pPr>
            <w:r w:rsidRPr="00264A75">
              <w:rPr>
                <w:rFonts w:ascii="Times New Roman" w:hAnsi="Times New Roman" w:cs="Times New Roman"/>
                <w:sz w:val="18"/>
                <w:szCs w:val="18"/>
                <w:highlight w:val="yellow"/>
              </w:rPr>
              <w:t>Апрель</w:t>
            </w:r>
          </w:p>
          <w:p w14:paraId="6D105F7E" w14:textId="531DD7D7" w:rsidR="00CF486D" w:rsidRPr="00702271" w:rsidRDefault="00CF486D" w:rsidP="00CF486D">
            <w:pPr>
              <w:pStyle w:val="ConsPlusCell"/>
              <w:shd w:val="clear" w:color="auto" w:fill="FFFFFF" w:themeFill="background1"/>
              <w:jc w:val="center"/>
              <w:rPr>
                <w:rFonts w:ascii="Times New Roman" w:hAnsi="Times New Roman" w:cs="Times New Roman"/>
                <w:sz w:val="18"/>
                <w:szCs w:val="18"/>
              </w:rPr>
            </w:pPr>
            <w:r w:rsidRPr="00264A75">
              <w:rPr>
                <w:rFonts w:ascii="Times New Roman" w:hAnsi="Times New Roman" w:cs="Times New Roman"/>
                <w:sz w:val="18"/>
                <w:szCs w:val="18"/>
                <w:highlight w:val="yellow"/>
              </w:rPr>
              <w:t>2025</w:t>
            </w:r>
          </w:p>
        </w:tc>
        <w:tc>
          <w:tcPr>
            <w:tcW w:w="850" w:type="dxa"/>
            <w:tcBorders>
              <w:top w:val="single" w:sz="4" w:space="0" w:color="auto"/>
              <w:left w:val="single" w:sz="4" w:space="0" w:color="auto"/>
              <w:bottom w:val="single" w:sz="4" w:space="0" w:color="auto"/>
              <w:right w:val="single" w:sz="4" w:space="0" w:color="auto"/>
            </w:tcBorders>
          </w:tcPr>
          <w:p w14:paraId="282C6547" w14:textId="357B9760" w:rsidR="00CF486D" w:rsidRPr="00702271"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A361C0D" w14:textId="5CC3A2A8" w:rsidR="00CF486D" w:rsidRPr="00702271"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8DEEE99" w14:textId="5843E750"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B742F2F" w14:textId="400DD190"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43027A" w14:textId="6D2D518F"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03442FD9"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CF486D"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CF486D" w:rsidRDefault="00CF486D" w:rsidP="00CF486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CF486D" w:rsidRPr="008632FD" w:rsidRDefault="00CF486D" w:rsidP="00CF486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CF486D" w:rsidRPr="00461F4E" w:rsidRDefault="00CF486D" w:rsidP="00CF48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CF486D" w:rsidRPr="00F31AAF" w:rsidRDefault="00CF486D" w:rsidP="00CF486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CF486D" w:rsidRDefault="00CF486D" w:rsidP="00CF486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CF486D" w:rsidRDefault="00CF486D" w:rsidP="00CF486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CF486D" w:rsidRPr="00461F4E" w:rsidRDefault="00CF486D" w:rsidP="00CF48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CF486D" w:rsidRDefault="00CF486D" w:rsidP="00CF486D">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77777777" w:rsidR="00CF486D" w:rsidRPr="00CF486D" w:rsidRDefault="00CF486D" w:rsidP="00CF486D">
            <w:pPr>
              <w:pStyle w:val="ConsPlusCell"/>
              <w:shd w:val="clear" w:color="auto" w:fill="FFFFFF" w:themeFill="background1"/>
              <w:jc w:val="center"/>
              <w:rPr>
                <w:rFonts w:ascii="Times New Roman" w:hAnsi="Times New Roman"/>
                <w:sz w:val="18"/>
                <w:szCs w:val="18"/>
                <w:highlight w:val="yellow"/>
              </w:rPr>
            </w:pPr>
            <w:r w:rsidRPr="00CF486D">
              <w:rPr>
                <w:rFonts w:ascii="Times New Roman" w:hAnsi="Times New Roman"/>
                <w:sz w:val="18"/>
                <w:szCs w:val="18"/>
                <w:highlight w:val="yellow"/>
              </w:rPr>
              <w:t>Май</w:t>
            </w:r>
          </w:p>
          <w:p w14:paraId="462B55BC" w14:textId="0C3A235E" w:rsidR="00CF486D" w:rsidRPr="00702271" w:rsidRDefault="00CF486D" w:rsidP="00CF486D">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sz w:val="18"/>
                <w:szCs w:val="18"/>
                <w:highlight w:val="yellow"/>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CF486D" w:rsidRPr="001B2E62" w:rsidRDefault="00CF486D" w:rsidP="00CF486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CF486D" w:rsidRPr="00702271" w:rsidRDefault="00CF486D" w:rsidP="00CF486D">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CF486D" w:rsidRPr="00702271"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4A0B994C" w14:textId="77777777" w:rsidTr="00ED70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0EAB995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13</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CF486D" w:rsidRPr="00461F4E"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CF486D" w:rsidRPr="00461F4E" w:rsidRDefault="00CF486D" w:rsidP="00CF486D">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CF486D" w:rsidRPr="00461F4E" w:rsidRDefault="00CF486D" w:rsidP="00CF486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CF486D" w:rsidRPr="00461F4E" w:rsidRDefault="00CF486D" w:rsidP="00CF486D">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CF486D" w:rsidRPr="00461F4E" w:rsidRDefault="00CF486D" w:rsidP="00CF486D">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CF486D" w:rsidRPr="00461F4E" w:rsidRDefault="00CF486D" w:rsidP="00CF486D">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CF486D" w:rsidRPr="00461F4E" w:rsidRDefault="00CF486D" w:rsidP="00CF48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CF486D" w:rsidRPr="00461F4E"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CF486D" w:rsidRDefault="00CF486D" w:rsidP="00CF48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CF486D" w:rsidRPr="00461F4E"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CF486D" w:rsidRPr="00461F4E"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68278CDA"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CF486D" w:rsidRPr="00461F4E"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CF486D" w:rsidRPr="00461F4E" w:rsidRDefault="00CF486D" w:rsidP="00CF486D">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CF486D" w:rsidRPr="00B51533" w:rsidRDefault="00CF486D" w:rsidP="00CF48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CF486D" w:rsidRPr="00461F4E" w:rsidRDefault="00CF486D" w:rsidP="00CF48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CF486D" w:rsidRPr="00461F4E" w:rsidRDefault="00CF486D" w:rsidP="00CF48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CF486D" w:rsidRPr="00B51533" w:rsidRDefault="00CF486D" w:rsidP="00CF48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CF486D" w:rsidRPr="00461F4E" w:rsidRDefault="00CF486D" w:rsidP="00CF48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CF486D" w:rsidRPr="00461F4E" w:rsidRDefault="00CF486D" w:rsidP="00CF486D">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50538201"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CF486D" w:rsidRPr="00461F4E"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CF486D" w:rsidRPr="00461F4E" w:rsidRDefault="00CF486D" w:rsidP="00CF48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CF486D" w:rsidRPr="00B51533" w:rsidRDefault="00CF486D" w:rsidP="00CF48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CF486D" w:rsidRPr="00461F4E" w:rsidRDefault="00CF486D" w:rsidP="00CF48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CF486D" w:rsidRPr="00461F4E" w:rsidRDefault="00CF486D" w:rsidP="00CF48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CF486D" w:rsidRPr="00B51533" w:rsidRDefault="00CF486D" w:rsidP="00CF48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CF486D" w:rsidRPr="00461F4E" w:rsidRDefault="00CF486D" w:rsidP="00CF48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CF486D"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CF486D" w:rsidRPr="00461F4E" w:rsidRDefault="00CF486D" w:rsidP="00CF48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2EAF2F0A"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CF486D" w:rsidRPr="00461F4E"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CF486D" w:rsidRPr="00461F4E" w:rsidRDefault="00CF486D" w:rsidP="00CF48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w:t>
            </w:r>
            <w:r w:rsidRPr="0082577C">
              <w:rPr>
                <w:rFonts w:ascii="Times New Roman" w:eastAsiaTheme="minorHAnsi" w:hAnsi="Times New Roman" w:cs="Times New Roman"/>
                <w:color w:val="000000"/>
                <w:sz w:val="18"/>
                <w:szCs w:val="18"/>
                <w:lang w:eastAsia="en-US"/>
              </w:rPr>
              <w:lastRenderedPageBreak/>
              <w:t xml:space="preserve">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CF486D" w:rsidRPr="00B51533" w:rsidRDefault="00CF486D" w:rsidP="00CF48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5011E048" w14:textId="77777777" w:rsidR="00CF486D" w:rsidRPr="00461F4E" w:rsidRDefault="00CF486D" w:rsidP="00CF48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CF486D" w:rsidRPr="00461F4E" w:rsidRDefault="00CF486D" w:rsidP="00CF48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CF486D" w:rsidRPr="00B51533" w:rsidRDefault="00CF486D" w:rsidP="00CF48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CF486D" w:rsidRPr="00461F4E" w:rsidRDefault="00CF486D" w:rsidP="00CF48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CF486D"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CF486D" w:rsidRPr="00461F4E" w:rsidRDefault="00CF486D" w:rsidP="00CF48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1AC61D6"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CF486D" w:rsidRPr="00461F4E"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CF486D" w:rsidRPr="00461F4E" w:rsidRDefault="00CF486D" w:rsidP="00CF48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CF486D" w:rsidRPr="00B51533" w:rsidRDefault="00CF486D" w:rsidP="00CF48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CF486D" w:rsidRPr="00461F4E" w:rsidRDefault="00CF486D" w:rsidP="00CF48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CF486D" w:rsidRPr="00461F4E" w:rsidRDefault="00CF486D" w:rsidP="00CF48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CF486D" w:rsidRPr="00B51533" w:rsidRDefault="00CF486D" w:rsidP="00CF48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CF486D" w:rsidRPr="00461F4E" w:rsidRDefault="00CF486D" w:rsidP="00CF48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CF486D" w:rsidRPr="00461F4E" w:rsidRDefault="00CF486D" w:rsidP="00CF48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CF486D"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CF486D" w:rsidRDefault="00CF486D" w:rsidP="00CF486D">
            <w:pPr>
              <w:pStyle w:val="ConsPlusNonformat"/>
              <w:rPr>
                <w:rFonts w:ascii="Times New Roman" w:hAnsi="Times New Roman" w:cs="Times New Roman"/>
                <w:sz w:val="18"/>
                <w:szCs w:val="18"/>
              </w:rPr>
            </w:pPr>
          </w:p>
          <w:p w14:paraId="0AFC1BF9" w14:textId="77777777" w:rsidR="00CF486D" w:rsidRPr="00461F4E" w:rsidRDefault="00CF486D" w:rsidP="00CF48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CF486D" w:rsidRPr="00461F4E" w:rsidRDefault="00CF486D" w:rsidP="00CF48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1D3201F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CF486D" w:rsidRPr="00461F4E" w:rsidRDefault="00CF486D" w:rsidP="00CF48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CF486D" w:rsidRPr="00461F4E" w:rsidRDefault="00CF486D" w:rsidP="00CF486D">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CF486D" w:rsidRPr="00461F4E" w:rsidRDefault="00CF486D" w:rsidP="00CF486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CF486D" w:rsidRPr="00461F4E" w:rsidRDefault="00CF486D" w:rsidP="00CF48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CF486D" w:rsidRPr="00461F4E" w:rsidRDefault="00CF486D" w:rsidP="00CF486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CF486D" w:rsidRPr="00461F4E" w:rsidRDefault="00CF486D" w:rsidP="00CF48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CF486D" w:rsidRPr="00461F4E" w:rsidRDefault="00CF486D" w:rsidP="00CF48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CF486D" w:rsidRPr="00461F4E"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CF486D" w:rsidRPr="00461F4E"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CF486D" w:rsidRPr="00461F4E" w:rsidRDefault="00CF486D" w:rsidP="00CF48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22835068" w:rsidR="00CF486D" w:rsidRPr="00E83A57" w:rsidRDefault="00CF486D" w:rsidP="00CF486D">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CF486D" w:rsidRPr="00461F4E" w:rsidRDefault="00CF486D" w:rsidP="00CF48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CF486D" w:rsidRPr="00461F4E" w:rsidRDefault="00CF486D" w:rsidP="00CF48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CF486D" w:rsidRPr="00461F4E" w:rsidRDefault="00CF486D" w:rsidP="00CF486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CF486D" w:rsidRPr="00461F4E" w:rsidRDefault="00CF486D" w:rsidP="00CF486D">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CF486D" w:rsidRPr="00461F4E" w:rsidRDefault="00CF486D" w:rsidP="00CF48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CF486D" w:rsidRPr="00461F4E" w:rsidRDefault="00CF486D" w:rsidP="00CF486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CF486D" w:rsidRPr="00461F4E" w:rsidRDefault="00CF486D" w:rsidP="00CF48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CF486D" w:rsidRPr="00461F4E" w:rsidRDefault="00CF486D" w:rsidP="00CF48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F486D"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22B0652C"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CF486D" w:rsidRPr="00461F4E" w:rsidRDefault="00CF486D" w:rsidP="00CF486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CF486D" w:rsidRPr="00461F4E" w:rsidRDefault="00CF486D" w:rsidP="00CF486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CF486D" w:rsidRPr="00461F4E" w:rsidRDefault="00CF486D" w:rsidP="00CF486D">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CF486D" w:rsidRPr="00461F4E" w:rsidRDefault="00CF486D" w:rsidP="00CF48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CF486D" w:rsidRPr="00461F4E" w:rsidRDefault="00CF486D" w:rsidP="00CF48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CF486D" w:rsidRPr="00461F4E" w:rsidRDefault="00CF486D" w:rsidP="00CF486D">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CF486D" w:rsidRPr="00461F4E" w:rsidRDefault="00CF486D" w:rsidP="00CF48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CF486D" w:rsidRPr="00461F4E" w:rsidRDefault="00CF486D" w:rsidP="00CF486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CF486D" w:rsidRPr="00461F4E"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CF486D" w:rsidRPr="00461F4E"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CF486D" w:rsidRPr="00461F4E" w:rsidRDefault="00CF486D" w:rsidP="00CF48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CF486D" w:rsidRPr="00461F4E"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CF486D" w:rsidRPr="00461F4E"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CF486D" w:rsidRPr="00461F4E" w:rsidRDefault="00CF486D" w:rsidP="00CF486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CF486D" w:rsidRPr="00461F4E" w:rsidRDefault="00CF486D" w:rsidP="00CF48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CF486D"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64261615"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F486D"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242A2050" w:rsidR="00CF486D"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CF486D" w:rsidRPr="0041348D"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CF486D" w:rsidRPr="0041348D"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F486D"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7F265A20"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F486D"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7D5C7F3F"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CF486D"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CF486D"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F486D"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608A9D61"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CF486D" w:rsidRPr="001F65C8" w:rsidRDefault="00CF486D" w:rsidP="00CF48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F486D"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40C47811"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CF486D" w:rsidRPr="001F65C8" w:rsidRDefault="00CF486D" w:rsidP="00CF48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F486D"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C3EF83F"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CF486D" w:rsidRPr="001F65C8" w:rsidRDefault="00CF486D" w:rsidP="00CF48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F486D"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0CB096FC" w:rsidR="00CF486D" w:rsidRPr="007C5CD8" w:rsidRDefault="002F4418" w:rsidP="00CF48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CF486D" w:rsidRPr="001F65C8" w:rsidRDefault="00CF486D" w:rsidP="00CF48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CF486D" w:rsidRPr="001F65C8" w:rsidRDefault="00CF486D" w:rsidP="00CF48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CF486D" w:rsidRPr="001F65C8" w:rsidRDefault="00CF486D" w:rsidP="00CF48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CF486D" w:rsidRPr="001F65C8" w:rsidRDefault="00CF486D" w:rsidP="00CF48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CF486D" w:rsidRPr="001F65C8" w:rsidRDefault="00CF486D" w:rsidP="00CF48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CF486D" w:rsidRPr="001F65C8" w:rsidRDefault="00CF486D" w:rsidP="00CF48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CF486D" w:rsidRPr="001F65C8" w:rsidRDefault="00CF486D" w:rsidP="00CF48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CF486D" w:rsidRPr="001F65C8" w:rsidRDefault="00CF486D" w:rsidP="00CF48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CF486D" w:rsidRPr="007C5CD8" w:rsidRDefault="00CF486D" w:rsidP="00CF48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2BBF46E7"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E2268F">
        <w:rPr>
          <w:rFonts w:ascii="Times New Roman" w:hAnsi="Times New Roman" w:cs="Times New Roman"/>
          <w:b/>
          <w:sz w:val="24"/>
          <w:szCs w:val="24"/>
        </w:rPr>
        <w:t>2</w:t>
      </w:r>
      <w:r w:rsidR="00572ED1">
        <w:rPr>
          <w:rFonts w:ascii="Times New Roman" w:hAnsi="Times New Roman" w:cs="Times New Roman"/>
          <w:b/>
          <w:sz w:val="24"/>
          <w:szCs w:val="24"/>
          <w:lang w:val="en-US"/>
        </w:rPr>
        <w:t>5</w:t>
      </w:r>
      <w:r w:rsidR="00D96657" w:rsidRPr="0010320B">
        <w:rPr>
          <w:rFonts w:ascii="Times New Roman" w:hAnsi="Times New Roman" w:cs="Times New Roman"/>
          <w:b/>
          <w:sz w:val="24"/>
          <w:szCs w:val="24"/>
        </w:rPr>
        <w:t xml:space="preserve">" </w:t>
      </w:r>
      <w:r>
        <w:rPr>
          <w:rFonts w:ascii="Times New Roman" w:hAnsi="Times New Roman" w:cs="Times New Roman"/>
          <w:b/>
          <w:sz w:val="24"/>
          <w:szCs w:val="24"/>
        </w:rPr>
        <w:t xml:space="preserve">марта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F1A"/>
    <w:rsid w:val="00180509"/>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9DB"/>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D7378"/>
    <w:rsid w:val="008E0784"/>
    <w:rsid w:val="008E0DFE"/>
    <w:rsid w:val="008E27AF"/>
    <w:rsid w:val="008E2A59"/>
    <w:rsid w:val="008E3A0C"/>
    <w:rsid w:val="008E3DEC"/>
    <w:rsid w:val="008E54C5"/>
    <w:rsid w:val="008E55CD"/>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15FB"/>
    <w:rsid w:val="00CB3455"/>
    <w:rsid w:val="00CB5383"/>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C8C84-B5DB-4909-8F25-1454F923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14</Pages>
  <Words>3785</Words>
  <Characters>21576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134</cp:revision>
  <cp:lastPrinted>2019-12-25T10:59:00Z</cp:lastPrinted>
  <dcterms:created xsi:type="dcterms:W3CDTF">2021-12-15T08:38:00Z</dcterms:created>
  <dcterms:modified xsi:type="dcterms:W3CDTF">2025-03-25T14:35:00Z</dcterms:modified>
</cp:coreProperties>
</file>