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867B8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629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6E6F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разработке рабочей документации на реконструкцию </w:t>
            </w:r>
            <w:proofErr w:type="spellStart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внутриподвальных</w:t>
            </w:r>
            <w:proofErr w:type="spellEnd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магистральных сетей зданий, расположенных по адресу: Санкт-Петербург, Кондратьевский пр-т, д. 40, корпуса № 2,3,4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F" w:rsidRPr="00967C6B" w:rsidRDefault="00DF117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E0BE8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E8" w:rsidRPr="00C275B9" w:rsidRDefault="005E0BE8" w:rsidP="005E0B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«Молодежного жилого комплекса, расположенного по адресу: Санкт-Петербург, поселок Парголово, ул. Вологдина, участок 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C54649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649">
              <w:rPr>
                <w:rFonts w:ascii="Times New Roman" w:hAnsi="Times New Roman" w:cs="Times New Roman"/>
                <w:sz w:val="16"/>
                <w:szCs w:val="16"/>
              </w:rPr>
              <w:t>1 662 048 200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C275B9" w:rsidRDefault="005E0BE8" w:rsidP="0050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</w:t>
            </w:r>
            <w:r w:rsidR="00500359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гионального значения, капитальному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ремонт</w:t>
            </w:r>
            <w:r w:rsidR="00500359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</w:t>
            </w:r>
            <w:r w:rsidR="00181831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пр. Кондратьевский, д.40, </w:t>
            </w:r>
            <w:proofErr w:type="gramStart"/>
            <w:r w:rsidR="00181831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C275B9" w:rsidRDefault="005E0BE8" w:rsidP="005E0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</w:t>
            </w:r>
            <w:r w:rsidR="00500359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ионального значения, капитальному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ремонт</w:t>
            </w:r>
            <w:r w:rsidR="00500359"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C024B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867B8F">
        <w:trPr>
          <w:trHeight w:val="127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8D4EE8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приспособлению помещений к современному использованию зданию, расположенном по адресу: Санкт-Петербург, ул. Серпуховская, д. 2/68.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8D4EE8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11-я Красноармейская ул., д. 7,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B6" w:rsidRPr="00967C6B" w:rsidRDefault="00C024B6" w:rsidP="00C024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4B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6461E4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6" w:rsidRPr="00967C6B" w:rsidRDefault="00C024B6" w:rsidP="00C024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4B6" w:rsidRDefault="00C024B6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>2 973 831 740,67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A6877" w:rsidRPr="00AA6877">
        <w:rPr>
          <w:rFonts w:ascii="Times New Roman" w:hAnsi="Times New Roman" w:cs="Times New Roman"/>
          <w:sz w:val="24"/>
          <w:szCs w:val="24"/>
        </w:rPr>
        <w:t>38</w:t>
      </w:r>
      <w:r w:rsidR="00535B48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499</w:t>
      </w:r>
      <w:r w:rsidR="00AA6877">
        <w:rPr>
          <w:rFonts w:ascii="Times New Roman" w:hAnsi="Times New Roman" w:cs="Times New Roman"/>
          <w:sz w:val="24"/>
          <w:szCs w:val="24"/>
        </w:rPr>
        <w:t xml:space="preserve"> 623,</w:t>
      </w:r>
      <w:r w:rsidR="00AA6877" w:rsidRPr="00AA6877">
        <w:rPr>
          <w:rFonts w:ascii="Times New Roman" w:hAnsi="Times New Roman" w:cs="Times New Roman"/>
          <w:sz w:val="24"/>
          <w:szCs w:val="24"/>
        </w:rPr>
        <w:t>81</w:t>
      </w:r>
      <w:r w:rsidR="003D72C5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808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635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377,40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27,55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020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4"/>
        <w:gridCol w:w="992"/>
        <w:gridCol w:w="1276"/>
        <w:gridCol w:w="709"/>
      </w:tblGrid>
      <w:tr w:rsidR="00740417" w:rsidRPr="008D4EE8" w:rsidTr="00C771B9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C771B9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C771B9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C771B9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623C1E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750D4" w:rsidTr="00C5464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05482" w:rsidTr="00C5464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8D4EE8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181831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приспособлению помещений к современному использованию зданию, расположенном по адресу: Санкт-Петербург, ул. Серпуховская, д. 2/68.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C5464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867B8F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AB5C6D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C771B9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5E0BE8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6E363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Pr="001F65C8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1F65C8">
        <w:rPr>
          <w:rFonts w:ascii="Times New Roman" w:hAnsi="Times New Roman" w:cs="Times New Roman"/>
          <w:b/>
          <w:sz w:val="24"/>
          <w:szCs w:val="24"/>
        </w:rPr>
        <w:t>25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B1041C" w:rsidRPr="00C32FB9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F4F40"/>
    <w:rsid w:val="004F5BCF"/>
    <w:rsid w:val="00500359"/>
    <w:rsid w:val="005025DE"/>
    <w:rsid w:val="00503296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4F7E"/>
    <w:rsid w:val="005D71F3"/>
    <w:rsid w:val="005D77CD"/>
    <w:rsid w:val="005D7C50"/>
    <w:rsid w:val="005E0BE8"/>
    <w:rsid w:val="005E370F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4747"/>
    <w:rsid w:val="006A706C"/>
    <w:rsid w:val="006B3084"/>
    <w:rsid w:val="006B368D"/>
    <w:rsid w:val="006C3415"/>
    <w:rsid w:val="006D2A1D"/>
    <w:rsid w:val="006D60D8"/>
    <w:rsid w:val="006E146F"/>
    <w:rsid w:val="006E3566"/>
    <w:rsid w:val="006E3633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17B6"/>
    <w:rsid w:val="00937E6A"/>
    <w:rsid w:val="0094239E"/>
    <w:rsid w:val="00947471"/>
    <w:rsid w:val="009477DB"/>
    <w:rsid w:val="00950BAA"/>
    <w:rsid w:val="00953D17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275B9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5184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678F"/>
    <w:rsid w:val="00E12138"/>
    <w:rsid w:val="00E13445"/>
    <w:rsid w:val="00E1349A"/>
    <w:rsid w:val="00E172B6"/>
    <w:rsid w:val="00E214C9"/>
    <w:rsid w:val="00E22551"/>
    <w:rsid w:val="00E30CAC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91FCF"/>
    <w:rsid w:val="00F923BF"/>
    <w:rsid w:val="00FA378A"/>
    <w:rsid w:val="00FA37E0"/>
    <w:rsid w:val="00FA7BCF"/>
    <w:rsid w:val="00FB30B5"/>
    <w:rsid w:val="00FC4097"/>
    <w:rsid w:val="00FC475B"/>
    <w:rsid w:val="00FC4980"/>
    <w:rsid w:val="00FD0522"/>
    <w:rsid w:val="00FD33F9"/>
    <w:rsid w:val="00FD3D57"/>
    <w:rsid w:val="00FD6F98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7A64-3A8E-4FC9-A683-9D63987A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9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42</cp:revision>
  <cp:lastPrinted>2019-12-25T10:59:00Z</cp:lastPrinted>
  <dcterms:created xsi:type="dcterms:W3CDTF">2019-12-25T09:07:00Z</dcterms:created>
  <dcterms:modified xsi:type="dcterms:W3CDTF">2020-12-25T14:54:00Z</dcterms:modified>
</cp:coreProperties>
</file>