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8E05A6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1E">
        <w:rPr>
          <w:rFonts w:ascii="Times New Roman" w:hAnsi="Times New Roman" w:cs="Times New Roman"/>
          <w:b/>
          <w:sz w:val="28"/>
          <w:szCs w:val="28"/>
        </w:rPr>
        <w:t>в редакции №</w:t>
      </w:r>
      <w:r w:rsidR="008A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797">
        <w:rPr>
          <w:rFonts w:ascii="Times New Roman" w:hAnsi="Times New Roman" w:cs="Times New Roman"/>
          <w:b/>
          <w:sz w:val="28"/>
          <w:szCs w:val="28"/>
        </w:rPr>
        <w:t>2</w:t>
      </w:r>
      <w:r w:rsidR="007A72B0">
        <w:rPr>
          <w:rFonts w:ascii="Times New Roman" w:hAnsi="Times New Roman" w:cs="Times New Roman"/>
          <w:b/>
          <w:sz w:val="28"/>
          <w:szCs w:val="28"/>
        </w:rPr>
        <w:t>8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66491F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31676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853"/>
        <w:gridCol w:w="844"/>
        <w:gridCol w:w="2808"/>
        <w:gridCol w:w="1401"/>
        <w:gridCol w:w="702"/>
        <w:gridCol w:w="840"/>
        <w:gridCol w:w="702"/>
        <w:gridCol w:w="1120"/>
        <w:gridCol w:w="980"/>
        <w:gridCol w:w="1120"/>
        <w:gridCol w:w="1121"/>
        <w:gridCol w:w="980"/>
        <w:gridCol w:w="1280"/>
        <w:gridCol w:w="560"/>
        <w:gridCol w:w="1394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F675FA" w:rsidRPr="008D4EE8" w:rsidTr="00EE7872">
        <w:trPr>
          <w:gridAfter w:val="14"/>
          <w:wAfter w:w="15941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EE7872">
        <w:trPr>
          <w:gridAfter w:val="14"/>
          <w:wAfter w:w="15941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EE7872">
        <w:trPr>
          <w:gridAfter w:val="14"/>
          <w:wAfter w:w="15941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EE7872">
        <w:trPr>
          <w:gridAfter w:val="14"/>
          <w:wAfter w:w="15941" w:type="dxa"/>
          <w:trHeight w:val="238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EE7872">
        <w:trPr>
          <w:gridAfter w:val="14"/>
          <w:wAfter w:w="15941" w:type="dxa"/>
          <w:trHeight w:val="87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восстановление флигеля в осях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проводимой в отношении объекта по адресу: Санкт-Петербург, ул. 11-я Красноармейская, д.7,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DA05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</w:t>
            </w:r>
            <w:r w:rsidR="00DA05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66653" w:rsidRDefault="00C66653" w:rsidP="009325E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корп.2,3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325E0" w:rsidRDefault="009325E0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7FD0" w:rsidRPr="000372FA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E82C23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на устройство оборудования лифтов в многоквартирном доме, расположенном по адресу: Санкт-Петербург, Старо-Петергофский пр., д.14, </w:t>
            </w:r>
            <w:proofErr w:type="spellStart"/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298 920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обеспечению питьевой водой через присоединенную водопроводную сеть системы коммунального водоснабжения многоквартирных жилых домов, расположенных по адресу: Санкт-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BC7E1C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37.00.11.110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1A32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приему сточных вод через присоединенную сеть системы коммунального канализации многоквартирных жилых домов, расположенных по адресу: Санкт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667D7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5E0D5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2846B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D4EE8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60F4A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D03138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4606CF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124AE6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F02FE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4606CF" w:rsidRPr="009325E0" w:rsidRDefault="004606CF" w:rsidP="004606CF">
            <w:pPr>
              <w:jc w:val="lef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720 004 780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jc w:val="center"/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 xml:space="preserve">    2020</w:t>
            </w: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jc w:val="center"/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EE7872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пр., д. № 40 корп. 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4 886 606,16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4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EE7872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Аренда помещения, расположенного по адресу: Санкт-Петербург, пер.Гривцова, д. 20,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лит.В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highlight w:val="yellow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40637600,16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4" w:type="dxa"/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32">
              <w:rPr>
                <w:rFonts w:ascii="Times New Roman" w:hAnsi="Times New Roman" w:cs="Times New Roman"/>
                <w:sz w:val="18"/>
                <w:szCs w:val="18"/>
              </w:rPr>
              <w:t>4 570 270,46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685D27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5208F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420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685D27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685D27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2D0E55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A1F76">
              <w:rPr>
                <w:rFonts w:ascii="Times New Roman" w:hAnsi="Times New Roman" w:cs="Times New Roman"/>
                <w:sz w:val="18"/>
                <w:szCs w:val="18"/>
              </w:rPr>
              <w:t xml:space="preserve">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A91A8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D2961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6BAB" w:rsidRDefault="002D0E55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2012F3" w:rsidRDefault="002012F3" w:rsidP="002012F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оценки) соответствия рабочей документации в части разделов «Противоаварийные мероприятия», «Проект организации противоаварийных мероприятий и экспертному заключению о проверке соответствия сметной документации принятым проектным решениям по объекту: «Капитальный ремонт квартир с перепланировкой и ремонту общего домового имуществу здания», расположенного по адресу: Санкт-Петербург, 11 Красноармейская улица, дом 7, литер 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FD2961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на право проведения негосударственной экспертизы проектной документации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01A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2D0E55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обследованию технического состояния помещений №№ 3-Н, 4-Н, 9-Н, 10-Н, 13-Н и лестниц №№ 1,2 здания офиса по адресу: Санкт-Петербург, пер. Гривцова, д.20, лит. 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176 942</w:t>
            </w:r>
          </w:p>
          <w:p w:rsidR="002D0E55" w:rsidRDefault="002D0E55" w:rsidP="002D0E55">
            <w:pPr>
              <w:rPr>
                <w:lang w:eastAsia="ru-RU"/>
              </w:rPr>
            </w:pPr>
          </w:p>
          <w:p w:rsidR="002D0E55" w:rsidRPr="00F667C0" w:rsidRDefault="002D0E55" w:rsidP="002D0E55">
            <w:pPr>
              <w:jc w:val="center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5D6C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6BA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9-я линия В.О. д.46, лит. </w:t>
            </w:r>
            <w:proofErr w:type="gramStart"/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8D4EE8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506 275,85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авторского надзора </w:t>
            </w: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за выполнением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реставрации и приспособления для современного использования жилых домов, расположенных по адресу: Санкт-Петербург, Калининский район, Кондратьевский проспект, д.40, корпуса 4,5,8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6C">
              <w:rPr>
                <w:rFonts w:ascii="Times New Roman" w:hAnsi="Times New Roman" w:cs="Times New Roman"/>
                <w:sz w:val="18"/>
                <w:szCs w:val="18"/>
              </w:rPr>
              <w:t>2 635 700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6BA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технологическому присоединению к централизованной системе водоснабжения, здания, расположенного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у: Санкт-Петербург, Рижский пр.</w:t>
            </w: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, д.23, лит. 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164 503,08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разработке рабочей документации </w:t>
            </w:r>
            <w:proofErr w:type="gramStart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на  вынос</w:t>
            </w:r>
            <w:proofErr w:type="gramEnd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, демонтаж и сохранность сооружений связи, попадающих в пятно застройки малоэтажных многоквартирных жилых домов, планируемых к строительству на земельном участке по адресу: Санкт- Петербург, поселок Парголово, улица Вологдина, участок 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EE7872">
        <w:trPr>
          <w:gridAfter w:val="14"/>
          <w:wAfter w:w="15941" w:type="dxa"/>
          <w:trHeight w:val="1134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  <w:r w:rsidR="00A472FF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D1924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</w:t>
            </w: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инженерно-геологическим и инженерно-геодезическим изысканиям жилого дома, расположенного по адресу: Каменноостро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вский проспект, дом 24, литер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A472FF" w:rsidP="00A472FF">
            <w:pPr>
              <w:tabs>
                <w:tab w:val="center" w:pos="491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C6739" w:rsidRPr="007D5D6C">
              <w:rPr>
                <w:rFonts w:ascii="Times New Roman" w:hAnsi="Times New Roman" w:cs="Times New Roman"/>
                <w:sz w:val="18"/>
                <w:szCs w:val="18"/>
              </w:rPr>
              <w:t>1 278 740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3386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B16062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D7054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AA52EC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D4EE8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93386" w:rsidRP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F02FE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52EC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деятельность по управлению МКД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52EC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  <w:r w:rsidR="00AA52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на объекте культурного наследия регионального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"Дом Н.Ф.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расположенного</w:t>
            </w: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г. Санкт-Петербург, ул. Серпуховская, д.2/68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D5D6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41923199,43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6299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B16062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A554C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домов, расположенных по адресу: г. Санкт-Петербург, Кондратьевский проспект, д. 40, корпуса 4,5,8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2846B0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8 386 080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70E9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B16062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667A88" w:rsidRDefault="00EC70E9" w:rsidP="00EC70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1-100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BE6A97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8D4EE8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CF397C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299 568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 xml:space="preserve">юль  </w:t>
            </w:r>
          </w:p>
          <w:p w:rsidR="00EC70E9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>ентябрь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537518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244270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107151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устройству нового бордюрного камня </w:t>
            </w:r>
            <w:proofErr w:type="spellStart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 объекта, расположенного по адресу: Санкт-Петербург, 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CF397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298 962,37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537518">
        <w:trPr>
          <w:gridAfter w:val="14"/>
          <w:wAfter w:w="15941" w:type="dxa"/>
          <w:trHeight w:val="258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667A88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ректировка рабочей документации и разработка 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 xml:space="preserve">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</w:t>
            </w:r>
            <w:proofErr w:type="spellStart"/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-Петербург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01320">
              <w:rPr>
                <w:rFonts w:ascii="Times New Roman" w:hAnsi="Times New Roman" w:cs="Times New Roman"/>
                <w:sz w:val="18"/>
                <w:szCs w:val="18"/>
              </w:rPr>
              <w:t>Василеостровский р-н, 9-линия В.О.,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 xml:space="preserve"> дом 46, литер А,</w:t>
            </w:r>
            <w:r w:rsidR="00397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2 678 424,38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537518">
        <w:trPr>
          <w:gridAfter w:val="14"/>
          <w:wAfter w:w="15941" w:type="dxa"/>
          <w:trHeight w:val="172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4201A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F02FE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A5EDC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6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EC70E9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101-184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7A0B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.Кронштадт</w:t>
            </w:r>
            <w:proofErr w:type="gramEnd"/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299 637,12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F015B1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817A4" w:rsidRDefault="00F015B1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667A88" w:rsidRDefault="00B16062" w:rsidP="002C3A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по устройству асфальтобетонного покрытия входных групп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объекта, расположенного по адресу: Санкт-Петербург,</w:t>
            </w:r>
            <w:r w:rsidR="002C3A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299 993,52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F02FE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устройству теплового ввода, пусконаладочных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</w:t>
            </w: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систем теплопотребления с вводом систем теплопотребления в постоянную эксплуатацию </w:t>
            </w:r>
            <w:r w:rsidR="002C3A57" w:rsidRPr="008321A6">
              <w:rPr>
                <w:rFonts w:ascii="Times New Roman" w:hAnsi="Times New Roman" w:cs="Times New Roman"/>
                <w:sz w:val="18"/>
                <w:szCs w:val="18"/>
              </w:rPr>
              <w:t>многоквартирного жилого дома,</w:t>
            </w: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 Санкт-Петербург, наб. Обводного канала, д. 128, лит. </w:t>
            </w:r>
            <w:proofErr w:type="gramStart"/>
            <w:r w:rsidRPr="008321A6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2 580 000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55E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55EB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32D2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проспект, д. 40, корпус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5 621 919,84</w:t>
            </w:r>
            <w:r w:rsidRPr="00FA788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325E0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325E0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EE7872">
        <w:trPr>
          <w:gridAfter w:val="14"/>
          <w:wAfter w:w="15941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CF397C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авторского надзора за выполнением работ по усилению фундаментов в рамках сохранения и приспособления к современному использованию помещений 1-Н, 2-Н, 4-Н, 5-Н, 14-Н, 24-Н–27-Н, 29-Н - 32-Н, 34-Н, 35-</w:t>
            </w:r>
            <w:proofErr w:type="gram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  в</w:t>
            </w:r>
            <w:proofErr w:type="gram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 объекте культурного наследия регионального значения «Дом Н.Ф.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» расположенного по адресу: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ул.Серпуховская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, д.2/68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1B67D5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лицензии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153 366,89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324F0E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324F0E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EE7872">
        <w:trPr>
          <w:gridAfter w:val="14"/>
          <w:wAfter w:w="15941" w:type="dxa"/>
          <w:trHeight w:val="62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A47C17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D7054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D7054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012F3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290 </w:t>
            </w:r>
            <w:r w:rsidR="00A275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AD" w:rsidRDefault="00EA54AD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7C17" w:rsidRPr="000372FA" w:rsidTr="00EE7872">
        <w:trPr>
          <w:gridAfter w:val="14"/>
          <w:wAfter w:w="15941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F817A4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CF397C" w:rsidRDefault="00A47C17" w:rsidP="002C3A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20266">
              <w:rPr>
                <w:rFonts w:ascii="Times New Roman" w:hAnsi="Times New Roman" w:cs="Times New Roman"/>
                <w:sz w:val="18"/>
                <w:szCs w:val="18"/>
              </w:rPr>
              <w:t>Корректировка архитектурных и конструктивных решений, разработка оставшихся разделов рабочей документации и разработка 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Санкт-Петербург, Старо</w:t>
            </w:r>
            <w:r w:rsidR="002C3A57">
              <w:rPr>
                <w:rFonts w:ascii="Times New Roman" w:hAnsi="Times New Roman" w:cs="Times New Roman"/>
                <w:sz w:val="18"/>
                <w:szCs w:val="18"/>
              </w:rPr>
              <w:t xml:space="preserve">-Петергофский пр., дом 14, </w:t>
            </w:r>
            <w:proofErr w:type="spellStart"/>
            <w:r w:rsidR="002C3A57">
              <w:rPr>
                <w:rFonts w:ascii="Times New Roman" w:hAnsi="Times New Roman" w:cs="Times New Roman"/>
                <w:sz w:val="18"/>
                <w:szCs w:val="18"/>
              </w:rPr>
              <w:t>лит.</w:t>
            </w:r>
            <w:r w:rsidRPr="00B202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B202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1B67D5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6 500 000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EA54A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A54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A47C17" w:rsidRDefault="00A47C17" w:rsidP="00A47C17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EA54AD" w:rsidP="00EA54A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="00A47C17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7C17" w:rsidRPr="000372FA" w:rsidTr="00EE7872">
        <w:trPr>
          <w:gridAfter w:val="14"/>
          <w:wAfter w:w="15941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244513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244513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2012F3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техническому надзору за строительством теплового ввода для ИТП жилой части и встроенных помещений жилого дома </w:t>
            </w:r>
            <w:r w:rsidR="002C3A57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</w:t>
            </w: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наб. Обводного канала, д. 128, лит. А, 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2846B0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  <w:p w:rsidR="00A47C17" w:rsidRPr="00244513" w:rsidRDefault="00A47C17" w:rsidP="00A47C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8EC" w:rsidRPr="000372FA" w:rsidTr="00EE7872">
        <w:trPr>
          <w:gridAfter w:val="14"/>
          <w:wAfter w:w="15941" w:type="dxa"/>
          <w:trHeight w:val="88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297">
              <w:rPr>
                <w:rFonts w:ascii="Times New Roman" w:hAnsi="Times New Roman" w:cs="Times New Roman"/>
                <w:sz w:val="18"/>
                <w:szCs w:val="18"/>
              </w:rPr>
              <w:t>4 776 922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Pr="00C75B87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Pr="00034E31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9D4C59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8EC" w:rsidRPr="000372FA" w:rsidTr="00EE7872">
        <w:trPr>
          <w:gridAfter w:val="14"/>
          <w:wAfter w:w="15941" w:type="dxa"/>
          <w:trHeight w:val="88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D7054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D7054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2012F3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2846B0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428EC" w:rsidRPr="00CC4774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F0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A0F06" w:rsidRPr="000372FA" w:rsidTr="000520CD">
        <w:trPr>
          <w:gridAfter w:val="14"/>
          <w:wAfter w:w="15941" w:type="dxa"/>
          <w:trHeight w:val="87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F817A4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124AE6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124AE6" w:rsidRDefault="009A0F06" w:rsidP="006428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E0D50" w:rsidRDefault="009A0F06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лицевого, дворовых флигелей, усиление фундамента западного флигеля </w:t>
            </w:r>
            <w:proofErr w:type="spellStart"/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буроинъекционными</w:t>
            </w:r>
            <w:proofErr w:type="spellEnd"/>
            <w:r w:rsidRPr="005C10E9">
              <w:rPr>
                <w:rFonts w:ascii="Times New Roman" w:hAnsi="Times New Roman" w:cs="Times New Roman"/>
                <w:sz w:val="18"/>
                <w:szCs w:val="18"/>
              </w:rPr>
              <w:t xml:space="preserve"> сваями объекта капремонта по адресу: Санкт-Петербург, ул. 11-я Красноармейская, д.7, литера </w:t>
            </w:r>
            <w:proofErr w:type="gramStart"/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Pr="00321D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2846B0" w:rsidRDefault="009A0F06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8D4EE8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960F4A" w:rsidRDefault="009A0F06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70772754,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06" w:rsidRPr="00960F4A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ентябрь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06" w:rsidRPr="00960F4A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екабрь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124AE6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8F0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F06" w:rsidRPr="000372FA" w:rsidTr="002C3A57">
        <w:trPr>
          <w:gridAfter w:val="14"/>
          <w:wAfter w:w="15941" w:type="dxa"/>
          <w:trHeight w:val="173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F817A4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044EEE" w:rsidRDefault="009A0F06" w:rsidP="00044EE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044EEE" w:rsidRDefault="009A0F06" w:rsidP="00044EE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69.20.10.000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06" w:rsidRPr="00321D9A" w:rsidRDefault="009A0F06" w:rsidP="000520CD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обязательного аудита бухгалтерской (финансовой)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отчетности АО «СПб ЦДЖ» за 2020</w:t>
            </w: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DB" w:rsidRPr="00667D7F" w:rsidRDefault="009A0F06" w:rsidP="002C3A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должна быть включена 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в реестр аудиторов и аудиторских организаций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СРО аудиторов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jc w:val="center"/>
            </w:pPr>
            <w:r w:rsidRPr="005B42FE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8D4EE8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1 074 960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6A66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A0F06" w:rsidRPr="00A257FC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A668A">
              <w:rPr>
                <w:rFonts w:ascii="Times New Roman" w:hAnsi="Times New Roman" w:cs="Times New Roman"/>
                <w:sz w:val="18"/>
                <w:szCs w:val="18"/>
              </w:rPr>
              <w:t>арт,</w:t>
            </w:r>
          </w:p>
          <w:p w:rsidR="009A0F06" w:rsidRPr="00A257FC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85D27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F06" w:rsidRPr="000372FA" w:rsidTr="000520CD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F817A4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04B35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04B35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6B0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A22A0C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193663">
              <w:rPr>
                <w:rFonts w:ascii="Times New Roman" w:hAnsi="Times New Roman" w:cs="Times New Roman"/>
                <w:sz w:val="18"/>
                <w:szCs w:val="18"/>
              </w:rPr>
              <w:t xml:space="preserve">по проведению измерений физических факторов, техническому сопровождению документов и согласованию с государственным органом ФБУЗ «Центр гигиены и эпидемиологии в Санкт-Петербурге» и органах </w:t>
            </w:r>
            <w:proofErr w:type="spellStart"/>
            <w:r w:rsidRPr="00193663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193663">
              <w:rPr>
                <w:rFonts w:ascii="Times New Roman" w:hAnsi="Times New Roman" w:cs="Times New Roman"/>
                <w:sz w:val="18"/>
                <w:szCs w:val="18"/>
              </w:rPr>
              <w:t xml:space="preserve"> для объекта, расположенного на участке по адресу: г. Санкт-Петербург, поселок Парголово, улица Вологдина, участок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77E3F">
              <w:rPr>
                <w:rFonts w:ascii="Times New Roman" w:hAnsi="Times New Roman" w:cs="Times New Roman"/>
                <w:sz w:val="18"/>
                <w:szCs w:val="18"/>
              </w:rPr>
              <w:t>земельный участок с кадастровым номером 78:36:0000000:4732.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05055E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31FE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260 000 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41E7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F817A4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55E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55EB" w:rsidRDefault="00B841E7" w:rsidP="00B841E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 Петербург, ул. Серпуховская, д.2/68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67D7F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4EE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296 989,44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A668A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841E7" w:rsidRPr="00A257FC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20CD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A257FC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41E7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F817A4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55E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55EB" w:rsidRDefault="00B841E7" w:rsidP="00B841E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3976E9" w:rsidRDefault="00B841E7" w:rsidP="000520CD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ул. Серпуховская, д.2/68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67D7F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31FE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4EE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EF1F12" w:rsidRDefault="00B841E7" w:rsidP="00B841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298 000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A668A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841E7" w:rsidRPr="00A257FC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A257FC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41E7" w:rsidRPr="00DB0782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F817A4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F270A4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4EE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261 000</w:t>
            </w:r>
          </w:p>
          <w:p w:rsidR="00B841E7" w:rsidRDefault="00B841E7" w:rsidP="00B84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A668A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841E7" w:rsidRPr="006A668A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0520CD" w:rsidRDefault="000520CD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B841E7" w:rsidRPr="00DB0782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41E7" w:rsidRPr="00537518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806095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1440DB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 w:rsidR="00B841E7" w:rsidRPr="00537518">
              <w:rPr>
                <w:rFonts w:ascii="Times New Roman" w:hAnsi="Times New Roman" w:cs="Times New Roman"/>
                <w:sz w:val="18"/>
                <w:szCs w:val="18"/>
              </w:rPr>
              <w:t>капитальному ремонту фундамента и отдельных</w:t>
            </w:r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элементов несущих и ограждающих конструкций здания по адресу: Санкт-Петербург, 11 Красноармейская улица, дом 7, литер 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95433784,80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0520CD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технологическому присоединению к централизованной системе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водоснабжения здания,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Кондратьевский пр-т, д. 40, корпус 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300 287,08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0C1DCE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43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69.20.1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69.20.10.000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обязательного аудита бухгалтерской (финансовой) отчетности АО «СПб ЦДЖ» за 2020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Организация должна быть включена в реестр аудиторов и аудиторских организаций СРО аудиторов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1 074 960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 по 44-ФЗ</w:t>
            </w:r>
          </w:p>
          <w:p w:rsidR="00806095" w:rsidRPr="00537518" w:rsidRDefault="00806095" w:rsidP="00806095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06095" w:rsidRPr="00537518" w:rsidTr="00263B99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43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8D55EB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8D55EB" w:rsidRDefault="00806095" w:rsidP="0080609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806095" w:rsidRPr="000C1DCE" w:rsidRDefault="00806095" w:rsidP="00806095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1DCE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100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Адмиралтейский район, Рижский пр., д. 23, литера 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667D7F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411C5B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411C5B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06095" w:rsidRPr="00411C5B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411C5B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411C5B" w:rsidRDefault="00806095" w:rsidP="0080609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8D4EE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299 568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CC37DD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43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технологическому присоединению к централизованной системе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водоснабжения здания,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расположенного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анкт-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Петербург, Кондр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атьевский пр-т, д. 40, корпус 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282 768,29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CC37DD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A44318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технологическому присоединению к централизованной системе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водоснабжения здания,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Кондр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атьевский пр-т, д. 40, корпус 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668 053,58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263B99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A44318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7D15D0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7D15D0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техническому надзору за строительством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узла врезки для ИТП жилого дома по адресу: г. Санкт-Петербург, Рижский проспект, д. 23,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октябрь, 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263B99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A44318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7D15D0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7D15D0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техническому надзору за строительством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тепловых сетей по адресу: г. Санкт-Петербург, Серпуховская ул., д. 2/68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октябрь, 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4318" w:rsidRPr="00537518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D7B10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 Петербург, Старо-Петергофский проспект, д.14, лит. 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10464341,28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ябрь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0820CE" w:rsidP="00A4431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44318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44318" w:rsidRPr="00537518" w:rsidRDefault="00A44318" w:rsidP="00A44318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4318" w:rsidRPr="00537518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D7B10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</w:p>
          <w:p w:rsidR="00A44318" w:rsidRPr="00537518" w:rsidRDefault="00A44318" w:rsidP="00A4431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технологическому присоединению к централизованной системе</w:t>
            </w:r>
          </w:p>
          <w:p w:rsidR="00A44318" w:rsidRPr="00537518" w:rsidRDefault="00A44318" w:rsidP="00A4431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водоснабжения здания,</w:t>
            </w:r>
          </w:p>
          <w:p w:rsidR="00A44318" w:rsidRPr="00537518" w:rsidRDefault="00A44318" w:rsidP="00A4431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Кондр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атьевский пр-т, д. 40, корпус 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215 575,51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ябрь,</w:t>
            </w:r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0820CE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44318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4318" w:rsidRPr="00537518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292BA8" w:rsidRDefault="00AD7B10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 дома, расположенного по адресу: Санкт-Петербург, Рижский пр., д.23, литер 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20CE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bCs/>
                <w:sz w:val="18"/>
                <w:szCs w:val="18"/>
              </w:rPr>
              <w:t>1 817 713,40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443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DD" w:rsidRDefault="00A44318" w:rsidP="00CC37D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A44318" w:rsidRPr="00537518" w:rsidRDefault="00A44318" w:rsidP="00CC37D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7BE" w:rsidRPr="00537518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292BA8" w:rsidRDefault="00AD7B10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фундамента и отдельных</w:t>
            </w:r>
          </w:p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элементов несущих и ограждающих конструкций здания по адресу: Санкт-Петербург, 11 Красноармейская улица, дом 7, литер 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820B2B" w:rsidP="00A2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95087163,43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820B2B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A267BE" w:rsidRPr="00537518">
              <w:rPr>
                <w:rFonts w:ascii="Times New Roman" w:hAnsi="Times New Roman" w:cs="Times New Roman"/>
                <w:sz w:val="18"/>
                <w:szCs w:val="18"/>
              </w:rPr>
              <w:t>ябрь,</w:t>
            </w:r>
          </w:p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C05914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A267BE" w:rsidRPr="00537518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491F" w:rsidRPr="00537518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66491F" w:rsidRPr="00537518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6491F" w:rsidRPr="00537518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91F" w:rsidRPr="00537518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B841E7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1,10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6491F" w:rsidRPr="00537518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bCs/>
                <w:sz w:val="18"/>
                <w:szCs w:val="18"/>
              </w:rPr>
              <w:t>437 864 020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декабрь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6491F" w:rsidRPr="00537518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37518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491F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B841E7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411C5B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411C5B" w:rsidRDefault="0066491F" w:rsidP="0066491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22A0C" w:rsidRDefault="0066491F" w:rsidP="0066491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Default="0066491F" w:rsidP="0066491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66491F" w:rsidRPr="00667D7F" w:rsidRDefault="0066491F" w:rsidP="0066491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411C5B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411C5B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6491F" w:rsidRPr="00411C5B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411C5B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411C5B" w:rsidRDefault="0066491F" w:rsidP="0066491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8D4EE8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710679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Default="0066491F" w:rsidP="0066491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2020</w:t>
            </w:r>
          </w:p>
          <w:p w:rsidR="0066491F" w:rsidRPr="00710679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704571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, 2022</w:t>
            </w:r>
          </w:p>
          <w:p w:rsidR="0066491F" w:rsidRPr="006A668A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491F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B841E7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411C5B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411C5B" w:rsidRDefault="0066491F" w:rsidP="0066491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E41316" w:rsidRDefault="0066491F" w:rsidP="0066491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Default="0066491F" w:rsidP="0066491F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411C5B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411C5B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6491F" w:rsidRPr="00411C5B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411C5B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411C5B" w:rsidRDefault="0066491F" w:rsidP="0066491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8D4EE8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9A510E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Default="0066491F" w:rsidP="0066491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6491F" w:rsidRPr="00704571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Default="0066491F" w:rsidP="0066491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6491F" w:rsidRPr="00704571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Default="0066491F" w:rsidP="0066491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65390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C6C" w:rsidRPr="00E65C6C">
        <w:rPr>
          <w:rFonts w:ascii="Times New Roman" w:hAnsi="Times New Roman" w:cs="Times New Roman"/>
          <w:sz w:val="24"/>
          <w:szCs w:val="24"/>
        </w:rPr>
        <w:t>1</w:t>
      </w:r>
      <w:r w:rsidR="00F3438A">
        <w:rPr>
          <w:rFonts w:ascii="Times New Roman" w:hAnsi="Times New Roman" w:cs="Times New Roman"/>
          <w:sz w:val="24"/>
          <w:szCs w:val="24"/>
        </w:rPr>
        <w:t> </w:t>
      </w:r>
      <w:r w:rsidR="00AF6448">
        <w:rPr>
          <w:rFonts w:ascii="Times New Roman" w:hAnsi="Times New Roman" w:cs="Times New Roman"/>
          <w:sz w:val="24"/>
          <w:szCs w:val="24"/>
        </w:rPr>
        <w:t xml:space="preserve">568 118 492,61 </w:t>
      </w:r>
      <w:r w:rsidR="00AF6448">
        <w:rPr>
          <w:rFonts w:ascii="Times New Roman" w:eastAsia="Times New Roman" w:hAnsi="Times New Roman" w:cs="Times New Roman"/>
          <w:sz w:val="24"/>
          <w:szCs w:val="24"/>
        </w:rPr>
        <w:t>рубль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5C358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2C3A57">
        <w:rPr>
          <w:rFonts w:ascii="Times New Roman" w:eastAsia="Times New Roman" w:hAnsi="Times New Roman" w:cs="Times New Roman"/>
          <w:sz w:val="24"/>
          <w:szCs w:val="24"/>
          <w:lang w:eastAsia="ru-RU"/>
        </w:rPr>
        <w:t> 886 261,32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69392F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589">
        <w:rPr>
          <w:rFonts w:ascii="Times New Roman" w:eastAsia="Times New Roman" w:hAnsi="Times New Roman" w:cs="Times New Roman"/>
          <w:sz w:val="24"/>
          <w:szCs w:val="24"/>
          <w:lang w:eastAsia="ru-RU"/>
        </w:rPr>
        <w:t>736</w:t>
      </w:r>
      <w:r w:rsidR="00F3438A">
        <w:rPr>
          <w:rFonts w:ascii="Times New Roman" w:eastAsia="Times New Roman" w:hAnsi="Times New Roman" w:cs="Times New Roman"/>
          <w:sz w:val="24"/>
          <w:szCs w:val="24"/>
          <w:lang w:eastAsia="ru-RU"/>
        </w:rPr>
        <w:t> 116 327,81</w:t>
      </w:r>
      <w:r w:rsidR="00E65C6C">
        <w:rPr>
          <w:rFonts w:ascii="Arial" w:hAnsi="Arial" w:cs="Arial"/>
          <w:color w:val="484848"/>
          <w:sz w:val="17"/>
          <w:szCs w:val="17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2844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6448">
        <w:rPr>
          <w:rFonts w:ascii="Times New Roman" w:eastAsia="Times New Roman" w:hAnsi="Times New Roman" w:cs="Times New Roman"/>
          <w:sz w:val="24"/>
          <w:szCs w:val="24"/>
          <w:lang w:eastAsia="ru-RU"/>
        </w:rPr>
        <w:t>8,33</w:t>
      </w:r>
      <w:r w:rsidR="000E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6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872" w:rsidRDefault="00EE7872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72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2C3A5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2C3A5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3" w:rsidRPr="008D4EE8" w:rsidRDefault="00740417" w:rsidP="002C3A5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2C3A57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044EEE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88341E" w:rsidRPr="004750D4" w:rsidTr="00F667C0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лит.А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044EE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E41316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5208F" w:rsidRDefault="006A6439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A420B6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A" w:rsidRDefault="006A6439" w:rsidP="00994EF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D523A2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CC37D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A52EC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Pr="00F9338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CC37D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05482" w:rsidTr="00CC37D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E85C0D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</w:t>
            </w:r>
            <w:r w:rsidR="00044EEE">
              <w:rPr>
                <w:rFonts w:ascii="Times New Roman" w:hAnsi="Times New Roman" w:cs="Times New Roman"/>
                <w:sz w:val="18"/>
                <w:szCs w:val="18"/>
              </w:rPr>
              <w:t>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E85C0D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A27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290 </w:t>
            </w:r>
            <w:r w:rsidR="00A275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9D4C59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5C0D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5C10E9" w:rsidP="00E85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85C0D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E85C0D" w:rsidRPr="005C10E9" w:rsidRDefault="00E85C0D" w:rsidP="005C1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1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F02FE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160A8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D70546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D70546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2012F3" w:rsidRDefault="008160A8" w:rsidP="008160A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2846B0" w:rsidRDefault="008160A8" w:rsidP="008160A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8D4EE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261 000</w:t>
            </w:r>
          </w:p>
          <w:p w:rsidR="008160A8" w:rsidRDefault="008160A8" w:rsidP="00816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6A668A" w:rsidRDefault="008160A8" w:rsidP="008160A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318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 дома, расположенного по адресу: Санкт-Петербург, Рижский пр., д.23,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022782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82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bCs/>
                <w:sz w:val="18"/>
                <w:szCs w:val="18"/>
              </w:rPr>
              <w:t>1 817 713,40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443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491F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124AE6" w:rsidRDefault="0066491F" w:rsidP="006649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124AE6" w:rsidRDefault="0066491F" w:rsidP="006649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B42FE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B42FE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411C5B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411C5B" w:rsidRDefault="0066491F" w:rsidP="0066491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8D4EE8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3364ED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66491F" w:rsidRPr="00124AE6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6491F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685D27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91F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B42FE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B42FE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F51268" w:rsidRDefault="0066491F" w:rsidP="0066491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F668B6" w:rsidRDefault="0066491F" w:rsidP="0066491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411C5B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411C5B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6491F" w:rsidRPr="00411C5B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411C5B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411C5B" w:rsidRDefault="0066491F" w:rsidP="0066491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8D4EE8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6464A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Default="0066491F" w:rsidP="0066491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6491F" w:rsidRDefault="0066491F" w:rsidP="0066491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Default="0066491F" w:rsidP="0066491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6491F" w:rsidRDefault="0066491F" w:rsidP="0066491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124AE6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9D4C59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491F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D70546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D70546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66491F" w:rsidRPr="00AB5C6D" w:rsidRDefault="0066491F" w:rsidP="00664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91F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124AE6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124AE6" w:rsidRDefault="0066491F" w:rsidP="0066491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66491F" w:rsidRPr="00AB5C6D" w:rsidRDefault="0066491F" w:rsidP="00664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91F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8439E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8439E" w:rsidRDefault="0066491F" w:rsidP="0066491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66491F" w:rsidRPr="00AB5C6D" w:rsidRDefault="0066491F" w:rsidP="00664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91F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8D4EE8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8D4EE8" w:rsidRDefault="0066491F" w:rsidP="0066491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6491F" w:rsidRPr="008D4EE8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66491F" w:rsidRPr="00AB5C6D" w:rsidRDefault="0066491F" w:rsidP="00664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91F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66491F" w:rsidRPr="00AB5C6D" w:rsidRDefault="0066491F" w:rsidP="00664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91F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B42FE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B42FE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66491F" w:rsidRPr="00AB5C6D" w:rsidRDefault="0066491F" w:rsidP="00664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491F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D70546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D70546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91F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44201A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124AE6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124AE6" w:rsidRDefault="0066491F" w:rsidP="0066491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91F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DF5FC6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8439E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8439E" w:rsidRDefault="0066491F" w:rsidP="0066491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91F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DF5FC6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8D4EE8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8D4EE8" w:rsidRDefault="0066491F" w:rsidP="0066491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6491F" w:rsidRPr="008D4EE8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91F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DF5FC6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91F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66491F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B42FE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5B42FE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F" w:rsidRPr="00AB5C6D" w:rsidRDefault="0066491F" w:rsidP="00664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66E2A" w:rsidRDefault="00666E2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2A087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</w:t>
      </w:r>
      <w:r w:rsidR="00D96657" w:rsidRPr="00307C77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D96657"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Зубарев Д.Ю.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14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91F">
        <w:rPr>
          <w:rFonts w:ascii="Times New Roman" w:hAnsi="Times New Roman" w:cs="Times New Roman"/>
          <w:b/>
          <w:sz w:val="24"/>
          <w:szCs w:val="24"/>
        </w:rPr>
        <w:t>16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7D15D0">
        <w:rPr>
          <w:rFonts w:ascii="Times New Roman" w:hAnsi="Times New Roman" w:cs="Times New Roman"/>
          <w:b/>
          <w:sz w:val="24"/>
          <w:szCs w:val="24"/>
        </w:rPr>
        <w:t>_</w:t>
      </w:r>
      <w:r w:rsidR="00806095">
        <w:rPr>
          <w:rFonts w:ascii="Times New Roman" w:hAnsi="Times New Roman" w:cs="Times New Roman"/>
          <w:b/>
          <w:sz w:val="24"/>
          <w:szCs w:val="24"/>
          <w:u w:val="single"/>
        </w:rPr>
        <w:t>но</w:t>
      </w:r>
      <w:r w:rsidR="008E05A6">
        <w:rPr>
          <w:rFonts w:ascii="Times New Roman" w:hAnsi="Times New Roman" w:cs="Times New Roman"/>
          <w:b/>
          <w:sz w:val="24"/>
          <w:szCs w:val="24"/>
          <w:u w:val="single"/>
        </w:rPr>
        <w:t>ября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15791C" w:rsidRPr="00642FAD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  <w:r w:rsidR="0069392F" w:rsidRPr="00642FAD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5791C" w:rsidRPr="00642FAD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0FB0"/>
    <w:rsid w:val="00010AA1"/>
    <w:rsid w:val="00011253"/>
    <w:rsid w:val="0001138C"/>
    <w:rsid w:val="00013516"/>
    <w:rsid w:val="00013A23"/>
    <w:rsid w:val="00015FC3"/>
    <w:rsid w:val="0002272F"/>
    <w:rsid w:val="00022782"/>
    <w:rsid w:val="00025331"/>
    <w:rsid w:val="0002756D"/>
    <w:rsid w:val="0003025A"/>
    <w:rsid w:val="00030F4D"/>
    <w:rsid w:val="00034E31"/>
    <w:rsid w:val="000373AF"/>
    <w:rsid w:val="0003785F"/>
    <w:rsid w:val="00037979"/>
    <w:rsid w:val="00041E20"/>
    <w:rsid w:val="00044EEE"/>
    <w:rsid w:val="00050D13"/>
    <w:rsid w:val="000520CD"/>
    <w:rsid w:val="0005579D"/>
    <w:rsid w:val="00061C65"/>
    <w:rsid w:val="00062591"/>
    <w:rsid w:val="0006734D"/>
    <w:rsid w:val="000700BB"/>
    <w:rsid w:val="00070522"/>
    <w:rsid w:val="0007086C"/>
    <w:rsid w:val="00071947"/>
    <w:rsid w:val="00072E5E"/>
    <w:rsid w:val="000820CE"/>
    <w:rsid w:val="00086EBD"/>
    <w:rsid w:val="000915B2"/>
    <w:rsid w:val="00094772"/>
    <w:rsid w:val="000967FF"/>
    <w:rsid w:val="00097E98"/>
    <w:rsid w:val="000A040F"/>
    <w:rsid w:val="000A256A"/>
    <w:rsid w:val="000A3C84"/>
    <w:rsid w:val="000A4612"/>
    <w:rsid w:val="000A4C5D"/>
    <w:rsid w:val="000A6BE2"/>
    <w:rsid w:val="000B34E1"/>
    <w:rsid w:val="000B4459"/>
    <w:rsid w:val="000B45E4"/>
    <w:rsid w:val="000B5EE6"/>
    <w:rsid w:val="000B62DF"/>
    <w:rsid w:val="000B7717"/>
    <w:rsid w:val="000C0683"/>
    <w:rsid w:val="000C1DCE"/>
    <w:rsid w:val="000D5E41"/>
    <w:rsid w:val="000D7DC0"/>
    <w:rsid w:val="000E0004"/>
    <w:rsid w:val="000E020E"/>
    <w:rsid w:val="000E0B82"/>
    <w:rsid w:val="000E0BCA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24DD"/>
    <w:rsid w:val="001177BF"/>
    <w:rsid w:val="001227D2"/>
    <w:rsid w:val="00124AE6"/>
    <w:rsid w:val="00124B7B"/>
    <w:rsid w:val="00124DC7"/>
    <w:rsid w:val="00126FAB"/>
    <w:rsid w:val="00135A40"/>
    <w:rsid w:val="00141A8A"/>
    <w:rsid w:val="00142AD7"/>
    <w:rsid w:val="001440DB"/>
    <w:rsid w:val="00145241"/>
    <w:rsid w:val="00146299"/>
    <w:rsid w:val="001467E6"/>
    <w:rsid w:val="00147C7D"/>
    <w:rsid w:val="001517AB"/>
    <w:rsid w:val="001523C2"/>
    <w:rsid w:val="00153BAF"/>
    <w:rsid w:val="00155668"/>
    <w:rsid w:val="0015791C"/>
    <w:rsid w:val="00162FCA"/>
    <w:rsid w:val="00174F1A"/>
    <w:rsid w:val="001825D6"/>
    <w:rsid w:val="00184CCD"/>
    <w:rsid w:val="00185518"/>
    <w:rsid w:val="0019372A"/>
    <w:rsid w:val="001958B3"/>
    <w:rsid w:val="001A322E"/>
    <w:rsid w:val="001A441B"/>
    <w:rsid w:val="001A5EDC"/>
    <w:rsid w:val="001A66E2"/>
    <w:rsid w:val="001A7452"/>
    <w:rsid w:val="001A7E37"/>
    <w:rsid w:val="001B62F3"/>
    <w:rsid w:val="001B70BF"/>
    <w:rsid w:val="001C1A6C"/>
    <w:rsid w:val="001C235F"/>
    <w:rsid w:val="001C32A5"/>
    <w:rsid w:val="001C439B"/>
    <w:rsid w:val="001C4710"/>
    <w:rsid w:val="001D1792"/>
    <w:rsid w:val="001D3BB6"/>
    <w:rsid w:val="001D44FA"/>
    <w:rsid w:val="001D4727"/>
    <w:rsid w:val="001D4EA7"/>
    <w:rsid w:val="001E0265"/>
    <w:rsid w:val="001E3B1C"/>
    <w:rsid w:val="001F2DE1"/>
    <w:rsid w:val="001F61A8"/>
    <w:rsid w:val="002012F3"/>
    <w:rsid w:val="00212335"/>
    <w:rsid w:val="002156AA"/>
    <w:rsid w:val="00220B2D"/>
    <w:rsid w:val="00222968"/>
    <w:rsid w:val="00230AFF"/>
    <w:rsid w:val="00231BFB"/>
    <w:rsid w:val="00237F08"/>
    <w:rsid w:val="002436B0"/>
    <w:rsid w:val="00243CEF"/>
    <w:rsid w:val="00244171"/>
    <w:rsid w:val="00244270"/>
    <w:rsid w:val="00244513"/>
    <w:rsid w:val="00251EDB"/>
    <w:rsid w:val="00255469"/>
    <w:rsid w:val="00255A00"/>
    <w:rsid w:val="00262B64"/>
    <w:rsid w:val="0026320C"/>
    <w:rsid w:val="00263B99"/>
    <w:rsid w:val="00264797"/>
    <w:rsid w:val="00270751"/>
    <w:rsid w:val="00277849"/>
    <w:rsid w:val="00277E3F"/>
    <w:rsid w:val="0028046B"/>
    <w:rsid w:val="00281624"/>
    <w:rsid w:val="002844B1"/>
    <w:rsid w:val="00284C16"/>
    <w:rsid w:val="002855E6"/>
    <w:rsid w:val="002863EC"/>
    <w:rsid w:val="00287A02"/>
    <w:rsid w:val="00292BA8"/>
    <w:rsid w:val="002A0876"/>
    <w:rsid w:val="002A091C"/>
    <w:rsid w:val="002A13AF"/>
    <w:rsid w:val="002A5EB6"/>
    <w:rsid w:val="002B3665"/>
    <w:rsid w:val="002C3A57"/>
    <w:rsid w:val="002C621C"/>
    <w:rsid w:val="002C627E"/>
    <w:rsid w:val="002D0E55"/>
    <w:rsid w:val="002D39AF"/>
    <w:rsid w:val="002E2B16"/>
    <w:rsid w:val="002E7315"/>
    <w:rsid w:val="002E75C6"/>
    <w:rsid w:val="002E7873"/>
    <w:rsid w:val="003016BE"/>
    <w:rsid w:val="00302B7D"/>
    <w:rsid w:val="00304C1A"/>
    <w:rsid w:val="00306312"/>
    <w:rsid w:val="00306AB8"/>
    <w:rsid w:val="00307686"/>
    <w:rsid w:val="00307C77"/>
    <w:rsid w:val="00307E78"/>
    <w:rsid w:val="00310809"/>
    <w:rsid w:val="00311F0C"/>
    <w:rsid w:val="00321D9A"/>
    <w:rsid w:val="00324F0E"/>
    <w:rsid w:val="00335982"/>
    <w:rsid w:val="003364ED"/>
    <w:rsid w:val="003436E3"/>
    <w:rsid w:val="00345979"/>
    <w:rsid w:val="003467D4"/>
    <w:rsid w:val="003473CA"/>
    <w:rsid w:val="00347898"/>
    <w:rsid w:val="0034791C"/>
    <w:rsid w:val="003570D2"/>
    <w:rsid w:val="00360CBB"/>
    <w:rsid w:val="00366167"/>
    <w:rsid w:val="00367AB2"/>
    <w:rsid w:val="003733FB"/>
    <w:rsid w:val="0037513E"/>
    <w:rsid w:val="00386101"/>
    <w:rsid w:val="00387206"/>
    <w:rsid w:val="003976E9"/>
    <w:rsid w:val="003A5F04"/>
    <w:rsid w:val="003B2FA7"/>
    <w:rsid w:val="003B64E0"/>
    <w:rsid w:val="003C3A79"/>
    <w:rsid w:val="003C43E3"/>
    <w:rsid w:val="003C6739"/>
    <w:rsid w:val="003C73CC"/>
    <w:rsid w:val="003C7F2D"/>
    <w:rsid w:val="003D72C5"/>
    <w:rsid w:val="003E02DE"/>
    <w:rsid w:val="003E1943"/>
    <w:rsid w:val="003E4649"/>
    <w:rsid w:val="003E6B87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0AB9"/>
    <w:rsid w:val="004216E4"/>
    <w:rsid w:val="00422EF6"/>
    <w:rsid w:val="0042506D"/>
    <w:rsid w:val="004275BB"/>
    <w:rsid w:val="00427B8A"/>
    <w:rsid w:val="004372A1"/>
    <w:rsid w:val="00440AE5"/>
    <w:rsid w:val="0044201A"/>
    <w:rsid w:val="00443E87"/>
    <w:rsid w:val="00446875"/>
    <w:rsid w:val="004477FC"/>
    <w:rsid w:val="0045208F"/>
    <w:rsid w:val="00454466"/>
    <w:rsid w:val="00454A05"/>
    <w:rsid w:val="004606CF"/>
    <w:rsid w:val="0046536B"/>
    <w:rsid w:val="00465BA9"/>
    <w:rsid w:val="00466225"/>
    <w:rsid w:val="00467A05"/>
    <w:rsid w:val="004736B8"/>
    <w:rsid w:val="0047496F"/>
    <w:rsid w:val="004750D4"/>
    <w:rsid w:val="004778C5"/>
    <w:rsid w:val="00480C18"/>
    <w:rsid w:val="004813BE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B7445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116D"/>
    <w:rsid w:val="00534316"/>
    <w:rsid w:val="00534D58"/>
    <w:rsid w:val="00535718"/>
    <w:rsid w:val="0053643F"/>
    <w:rsid w:val="00537385"/>
    <w:rsid w:val="00537518"/>
    <w:rsid w:val="005379D3"/>
    <w:rsid w:val="00542A9C"/>
    <w:rsid w:val="00542CBD"/>
    <w:rsid w:val="00546BE9"/>
    <w:rsid w:val="0055094D"/>
    <w:rsid w:val="00553995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91186"/>
    <w:rsid w:val="005A1077"/>
    <w:rsid w:val="005B0276"/>
    <w:rsid w:val="005B0D3C"/>
    <w:rsid w:val="005B3E4A"/>
    <w:rsid w:val="005B42FE"/>
    <w:rsid w:val="005B67DE"/>
    <w:rsid w:val="005C10E9"/>
    <w:rsid w:val="005C338A"/>
    <w:rsid w:val="005C3589"/>
    <w:rsid w:val="005C3CC4"/>
    <w:rsid w:val="005C48AE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1C50"/>
    <w:rsid w:val="00602063"/>
    <w:rsid w:val="00602A86"/>
    <w:rsid w:val="00606235"/>
    <w:rsid w:val="00613199"/>
    <w:rsid w:val="00623064"/>
    <w:rsid w:val="006230ED"/>
    <w:rsid w:val="00625583"/>
    <w:rsid w:val="006322CF"/>
    <w:rsid w:val="006348D5"/>
    <w:rsid w:val="006428EC"/>
    <w:rsid w:val="00642FAD"/>
    <w:rsid w:val="0064596B"/>
    <w:rsid w:val="00660E2A"/>
    <w:rsid w:val="00661583"/>
    <w:rsid w:val="00661670"/>
    <w:rsid w:val="0066491F"/>
    <w:rsid w:val="00666E2A"/>
    <w:rsid w:val="00667D7F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392F"/>
    <w:rsid w:val="00694E42"/>
    <w:rsid w:val="00696BB8"/>
    <w:rsid w:val="00696E06"/>
    <w:rsid w:val="006A2BE5"/>
    <w:rsid w:val="006A6439"/>
    <w:rsid w:val="006A706C"/>
    <w:rsid w:val="006B06DA"/>
    <w:rsid w:val="006B0830"/>
    <w:rsid w:val="006B3084"/>
    <w:rsid w:val="006B335C"/>
    <w:rsid w:val="006B368D"/>
    <w:rsid w:val="006C3415"/>
    <w:rsid w:val="006C5C89"/>
    <w:rsid w:val="006D1618"/>
    <w:rsid w:val="006D2A1D"/>
    <w:rsid w:val="006D60D8"/>
    <w:rsid w:val="006E146F"/>
    <w:rsid w:val="006E3566"/>
    <w:rsid w:val="006E376A"/>
    <w:rsid w:val="006E5E7A"/>
    <w:rsid w:val="006E6C08"/>
    <w:rsid w:val="006F13CD"/>
    <w:rsid w:val="006F197D"/>
    <w:rsid w:val="006F1AFD"/>
    <w:rsid w:val="006F203A"/>
    <w:rsid w:val="006F40EA"/>
    <w:rsid w:val="006F5B2B"/>
    <w:rsid w:val="00700147"/>
    <w:rsid w:val="007003A1"/>
    <w:rsid w:val="0070286E"/>
    <w:rsid w:val="00703592"/>
    <w:rsid w:val="00704571"/>
    <w:rsid w:val="00707CCC"/>
    <w:rsid w:val="00710679"/>
    <w:rsid w:val="00714669"/>
    <w:rsid w:val="00717CA8"/>
    <w:rsid w:val="0072004B"/>
    <w:rsid w:val="00726299"/>
    <w:rsid w:val="00726D1E"/>
    <w:rsid w:val="00726DFB"/>
    <w:rsid w:val="00727215"/>
    <w:rsid w:val="00730984"/>
    <w:rsid w:val="00731B7E"/>
    <w:rsid w:val="0073339E"/>
    <w:rsid w:val="00734B3A"/>
    <w:rsid w:val="007351A6"/>
    <w:rsid w:val="00735761"/>
    <w:rsid w:val="007370AA"/>
    <w:rsid w:val="00740417"/>
    <w:rsid w:val="007468E9"/>
    <w:rsid w:val="00747AD3"/>
    <w:rsid w:val="00751599"/>
    <w:rsid w:val="00757D4B"/>
    <w:rsid w:val="00772670"/>
    <w:rsid w:val="00772AEB"/>
    <w:rsid w:val="00776B68"/>
    <w:rsid w:val="00777B54"/>
    <w:rsid w:val="00787971"/>
    <w:rsid w:val="00793552"/>
    <w:rsid w:val="007A0BF6"/>
    <w:rsid w:val="007A0DE8"/>
    <w:rsid w:val="007A72B0"/>
    <w:rsid w:val="007B1FEB"/>
    <w:rsid w:val="007B37DC"/>
    <w:rsid w:val="007B4562"/>
    <w:rsid w:val="007C15E1"/>
    <w:rsid w:val="007C6117"/>
    <w:rsid w:val="007D15D0"/>
    <w:rsid w:val="007D46FC"/>
    <w:rsid w:val="007D5D6C"/>
    <w:rsid w:val="007E2B53"/>
    <w:rsid w:val="007E6033"/>
    <w:rsid w:val="007E7EB4"/>
    <w:rsid w:val="007F0399"/>
    <w:rsid w:val="007F110E"/>
    <w:rsid w:val="007F1136"/>
    <w:rsid w:val="007F6A5B"/>
    <w:rsid w:val="00800989"/>
    <w:rsid w:val="008038F3"/>
    <w:rsid w:val="0080480C"/>
    <w:rsid w:val="00805AEC"/>
    <w:rsid w:val="00806095"/>
    <w:rsid w:val="00806C1F"/>
    <w:rsid w:val="00807640"/>
    <w:rsid w:val="00810E9E"/>
    <w:rsid w:val="008160A8"/>
    <w:rsid w:val="0081783F"/>
    <w:rsid w:val="00820B2B"/>
    <w:rsid w:val="00823955"/>
    <w:rsid w:val="00825072"/>
    <w:rsid w:val="00827C90"/>
    <w:rsid w:val="00827D7C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5917"/>
    <w:rsid w:val="00856E23"/>
    <w:rsid w:val="008626BD"/>
    <w:rsid w:val="00881928"/>
    <w:rsid w:val="008823E1"/>
    <w:rsid w:val="0088341E"/>
    <w:rsid w:val="00885440"/>
    <w:rsid w:val="008904FE"/>
    <w:rsid w:val="00896064"/>
    <w:rsid w:val="008A09F8"/>
    <w:rsid w:val="008A10C4"/>
    <w:rsid w:val="008A38F0"/>
    <w:rsid w:val="008A48C9"/>
    <w:rsid w:val="008A54D3"/>
    <w:rsid w:val="008B0B54"/>
    <w:rsid w:val="008B2007"/>
    <w:rsid w:val="008B47F4"/>
    <w:rsid w:val="008B50AF"/>
    <w:rsid w:val="008B61CC"/>
    <w:rsid w:val="008B6D59"/>
    <w:rsid w:val="008C2981"/>
    <w:rsid w:val="008D0FC2"/>
    <w:rsid w:val="008D4EE8"/>
    <w:rsid w:val="008D55EB"/>
    <w:rsid w:val="008D6236"/>
    <w:rsid w:val="008E05A6"/>
    <w:rsid w:val="008E0DFE"/>
    <w:rsid w:val="008E54C5"/>
    <w:rsid w:val="008E734A"/>
    <w:rsid w:val="008F02FE"/>
    <w:rsid w:val="00903626"/>
    <w:rsid w:val="0091026C"/>
    <w:rsid w:val="00920E80"/>
    <w:rsid w:val="0092108A"/>
    <w:rsid w:val="0092149A"/>
    <w:rsid w:val="00921ED0"/>
    <w:rsid w:val="00923BDD"/>
    <w:rsid w:val="00923DB1"/>
    <w:rsid w:val="009325E0"/>
    <w:rsid w:val="00937E6A"/>
    <w:rsid w:val="0094239E"/>
    <w:rsid w:val="00947471"/>
    <w:rsid w:val="009477DB"/>
    <w:rsid w:val="00953BC9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2171"/>
    <w:rsid w:val="009847B9"/>
    <w:rsid w:val="00985C63"/>
    <w:rsid w:val="00993D2D"/>
    <w:rsid w:val="0099402D"/>
    <w:rsid w:val="00994EF0"/>
    <w:rsid w:val="00996728"/>
    <w:rsid w:val="009A094D"/>
    <w:rsid w:val="009A0F06"/>
    <w:rsid w:val="009A3A36"/>
    <w:rsid w:val="009A3CD0"/>
    <w:rsid w:val="009A41DF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0C9F"/>
    <w:rsid w:val="009E54C8"/>
    <w:rsid w:val="009E5673"/>
    <w:rsid w:val="009E681E"/>
    <w:rsid w:val="009F178A"/>
    <w:rsid w:val="009F1ACE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57FC"/>
    <w:rsid w:val="00A267BE"/>
    <w:rsid w:val="00A26A7F"/>
    <w:rsid w:val="00A275D9"/>
    <w:rsid w:val="00A305CB"/>
    <w:rsid w:val="00A3141C"/>
    <w:rsid w:val="00A403DA"/>
    <w:rsid w:val="00A41269"/>
    <w:rsid w:val="00A43440"/>
    <w:rsid w:val="00A43E29"/>
    <w:rsid w:val="00A44318"/>
    <w:rsid w:val="00A467DC"/>
    <w:rsid w:val="00A46BAB"/>
    <w:rsid w:val="00A472FF"/>
    <w:rsid w:val="00A47C17"/>
    <w:rsid w:val="00A50B56"/>
    <w:rsid w:val="00A51DF7"/>
    <w:rsid w:val="00A60AD0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07C7"/>
    <w:rsid w:val="00A91875"/>
    <w:rsid w:val="00A91A81"/>
    <w:rsid w:val="00A9795A"/>
    <w:rsid w:val="00AA1619"/>
    <w:rsid w:val="00AA1F76"/>
    <w:rsid w:val="00AA3BEF"/>
    <w:rsid w:val="00AA3F58"/>
    <w:rsid w:val="00AA52EC"/>
    <w:rsid w:val="00AA68F6"/>
    <w:rsid w:val="00AB0C56"/>
    <w:rsid w:val="00AB215F"/>
    <w:rsid w:val="00AB37AA"/>
    <w:rsid w:val="00AB504A"/>
    <w:rsid w:val="00AB5C6D"/>
    <w:rsid w:val="00AC0F3C"/>
    <w:rsid w:val="00AC4989"/>
    <w:rsid w:val="00AC721B"/>
    <w:rsid w:val="00AC7957"/>
    <w:rsid w:val="00AC7FCF"/>
    <w:rsid w:val="00AD7B10"/>
    <w:rsid w:val="00AD7EB5"/>
    <w:rsid w:val="00AE0517"/>
    <w:rsid w:val="00AE1AF4"/>
    <w:rsid w:val="00AE2184"/>
    <w:rsid w:val="00AE26F8"/>
    <w:rsid w:val="00AE3E1B"/>
    <w:rsid w:val="00AE541B"/>
    <w:rsid w:val="00AF32CD"/>
    <w:rsid w:val="00AF6448"/>
    <w:rsid w:val="00AF701E"/>
    <w:rsid w:val="00B00F24"/>
    <w:rsid w:val="00B0193B"/>
    <w:rsid w:val="00B05987"/>
    <w:rsid w:val="00B06390"/>
    <w:rsid w:val="00B1041C"/>
    <w:rsid w:val="00B11BA1"/>
    <w:rsid w:val="00B12339"/>
    <w:rsid w:val="00B13D23"/>
    <w:rsid w:val="00B16062"/>
    <w:rsid w:val="00B174B2"/>
    <w:rsid w:val="00B20266"/>
    <w:rsid w:val="00B21AB9"/>
    <w:rsid w:val="00B22542"/>
    <w:rsid w:val="00B32DA2"/>
    <w:rsid w:val="00B32FA6"/>
    <w:rsid w:val="00B348A7"/>
    <w:rsid w:val="00B35604"/>
    <w:rsid w:val="00B36140"/>
    <w:rsid w:val="00B371A6"/>
    <w:rsid w:val="00B44775"/>
    <w:rsid w:val="00B447FC"/>
    <w:rsid w:val="00B56093"/>
    <w:rsid w:val="00B618AB"/>
    <w:rsid w:val="00B627F2"/>
    <w:rsid w:val="00B65390"/>
    <w:rsid w:val="00B73357"/>
    <w:rsid w:val="00B76E4E"/>
    <w:rsid w:val="00B7787B"/>
    <w:rsid w:val="00B80BC7"/>
    <w:rsid w:val="00B81922"/>
    <w:rsid w:val="00B82337"/>
    <w:rsid w:val="00B841E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223B"/>
    <w:rsid w:val="00BC3DB4"/>
    <w:rsid w:val="00BC5A74"/>
    <w:rsid w:val="00BC6F61"/>
    <w:rsid w:val="00BC7E1C"/>
    <w:rsid w:val="00BD1303"/>
    <w:rsid w:val="00BD1507"/>
    <w:rsid w:val="00BD1760"/>
    <w:rsid w:val="00BE1BCA"/>
    <w:rsid w:val="00BE48A9"/>
    <w:rsid w:val="00BF350D"/>
    <w:rsid w:val="00BF44E1"/>
    <w:rsid w:val="00BF46E8"/>
    <w:rsid w:val="00BF5B54"/>
    <w:rsid w:val="00BF789E"/>
    <w:rsid w:val="00C0026E"/>
    <w:rsid w:val="00C00F21"/>
    <w:rsid w:val="00C013BC"/>
    <w:rsid w:val="00C05914"/>
    <w:rsid w:val="00C0599C"/>
    <w:rsid w:val="00C05E30"/>
    <w:rsid w:val="00C05F09"/>
    <w:rsid w:val="00C10E95"/>
    <w:rsid w:val="00C10EF9"/>
    <w:rsid w:val="00C12417"/>
    <w:rsid w:val="00C16846"/>
    <w:rsid w:val="00C16E82"/>
    <w:rsid w:val="00C21623"/>
    <w:rsid w:val="00C242F9"/>
    <w:rsid w:val="00C26464"/>
    <w:rsid w:val="00C31FED"/>
    <w:rsid w:val="00C32FB9"/>
    <w:rsid w:val="00C4007A"/>
    <w:rsid w:val="00C5101F"/>
    <w:rsid w:val="00C5306E"/>
    <w:rsid w:val="00C5506C"/>
    <w:rsid w:val="00C57BA0"/>
    <w:rsid w:val="00C60C41"/>
    <w:rsid w:val="00C6409D"/>
    <w:rsid w:val="00C64CDA"/>
    <w:rsid w:val="00C66653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0AC1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C37DD"/>
    <w:rsid w:val="00CC4774"/>
    <w:rsid w:val="00CD09F2"/>
    <w:rsid w:val="00CD3DAA"/>
    <w:rsid w:val="00CD4AAE"/>
    <w:rsid w:val="00CD6288"/>
    <w:rsid w:val="00CE2BB3"/>
    <w:rsid w:val="00CE4DFE"/>
    <w:rsid w:val="00CF0343"/>
    <w:rsid w:val="00CF2148"/>
    <w:rsid w:val="00CF3A19"/>
    <w:rsid w:val="00CF5A35"/>
    <w:rsid w:val="00CF75FC"/>
    <w:rsid w:val="00D01192"/>
    <w:rsid w:val="00D011E6"/>
    <w:rsid w:val="00D03138"/>
    <w:rsid w:val="00D05AD6"/>
    <w:rsid w:val="00D073C1"/>
    <w:rsid w:val="00D11162"/>
    <w:rsid w:val="00D1197A"/>
    <w:rsid w:val="00D11F57"/>
    <w:rsid w:val="00D166CE"/>
    <w:rsid w:val="00D20F64"/>
    <w:rsid w:val="00D21A82"/>
    <w:rsid w:val="00D27093"/>
    <w:rsid w:val="00D3128B"/>
    <w:rsid w:val="00D3260E"/>
    <w:rsid w:val="00D32E24"/>
    <w:rsid w:val="00D36BF7"/>
    <w:rsid w:val="00D4499A"/>
    <w:rsid w:val="00D45DEB"/>
    <w:rsid w:val="00D523A2"/>
    <w:rsid w:val="00D549A9"/>
    <w:rsid w:val="00D569FB"/>
    <w:rsid w:val="00D570A2"/>
    <w:rsid w:val="00D61EE4"/>
    <w:rsid w:val="00D7201E"/>
    <w:rsid w:val="00D76966"/>
    <w:rsid w:val="00D773E9"/>
    <w:rsid w:val="00D77DC0"/>
    <w:rsid w:val="00D80669"/>
    <w:rsid w:val="00D84020"/>
    <w:rsid w:val="00D96600"/>
    <w:rsid w:val="00D96657"/>
    <w:rsid w:val="00D97CC7"/>
    <w:rsid w:val="00DA0518"/>
    <w:rsid w:val="00DA1E88"/>
    <w:rsid w:val="00DA1F2B"/>
    <w:rsid w:val="00DA21D8"/>
    <w:rsid w:val="00DA2573"/>
    <w:rsid w:val="00DA4940"/>
    <w:rsid w:val="00DA70B0"/>
    <w:rsid w:val="00DA76D1"/>
    <w:rsid w:val="00DB0782"/>
    <w:rsid w:val="00DB2AE8"/>
    <w:rsid w:val="00DB2D2E"/>
    <w:rsid w:val="00DB431F"/>
    <w:rsid w:val="00DB44F4"/>
    <w:rsid w:val="00DB4DA6"/>
    <w:rsid w:val="00DB5F71"/>
    <w:rsid w:val="00DB6AA3"/>
    <w:rsid w:val="00DC48D4"/>
    <w:rsid w:val="00DC5311"/>
    <w:rsid w:val="00DC6272"/>
    <w:rsid w:val="00DD0BA2"/>
    <w:rsid w:val="00DD1CA1"/>
    <w:rsid w:val="00DD2C6C"/>
    <w:rsid w:val="00DD52FE"/>
    <w:rsid w:val="00DE163F"/>
    <w:rsid w:val="00DE394A"/>
    <w:rsid w:val="00DE3B8E"/>
    <w:rsid w:val="00DE4AEF"/>
    <w:rsid w:val="00DE747F"/>
    <w:rsid w:val="00DF0198"/>
    <w:rsid w:val="00DF1F0A"/>
    <w:rsid w:val="00DF5195"/>
    <w:rsid w:val="00DF5FC6"/>
    <w:rsid w:val="00DF60D6"/>
    <w:rsid w:val="00E009B2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37539"/>
    <w:rsid w:val="00E41E00"/>
    <w:rsid w:val="00E512C5"/>
    <w:rsid w:val="00E5435F"/>
    <w:rsid w:val="00E54FEA"/>
    <w:rsid w:val="00E557F8"/>
    <w:rsid w:val="00E56D98"/>
    <w:rsid w:val="00E65865"/>
    <w:rsid w:val="00E65BBB"/>
    <w:rsid w:val="00E65C6C"/>
    <w:rsid w:val="00E66C6D"/>
    <w:rsid w:val="00E705DF"/>
    <w:rsid w:val="00E719BC"/>
    <w:rsid w:val="00E74A9D"/>
    <w:rsid w:val="00E80773"/>
    <w:rsid w:val="00E82C23"/>
    <w:rsid w:val="00E839CE"/>
    <w:rsid w:val="00E85C0D"/>
    <w:rsid w:val="00E87432"/>
    <w:rsid w:val="00E87662"/>
    <w:rsid w:val="00E93911"/>
    <w:rsid w:val="00E96356"/>
    <w:rsid w:val="00E96C9A"/>
    <w:rsid w:val="00E978B9"/>
    <w:rsid w:val="00EA2BF2"/>
    <w:rsid w:val="00EA54AD"/>
    <w:rsid w:val="00EA7850"/>
    <w:rsid w:val="00EB7297"/>
    <w:rsid w:val="00EB76A6"/>
    <w:rsid w:val="00EB7C64"/>
    <w:rsid w:val="00EC3FBA"/>
    <w:rsid w:val="00EC6B48"/>
    <w:rsid w:val="00EC70E9"/>
    <w:rsid w:val="00ED25D4"/>
    <w:rsid w:val="00ED2B21"/>
    <w:rsid w:val="00ED4BCD"/>
    <w:rsid w:val="00ED5085"/>
    <w:rsid w:val="00ED6AED"/>
    <w:rsid w:val="00ED7846"/>
    <w:rsid w:val="00EE1AF0"/>
    <w:rsid w:val="00EE4973"/>
    <w:rsid w:val="00EE7872"/>
    <w:rsid w:val="00EF006D"/>
    <w:rsid w:val="00EF00BE"/>
    <w:rsid w:val="00EF108C"/>
    <w:rsid w:val="00EF1F12"/>
    <w:rsid w:val="00EF39E0"/>
    <w:rsid w:val="00EF4F8C"/>
    <w:rsid w:val="00F00748"/>
    <w:rsid w:val="00F007BC"/>
    <w:rsid w:val="00F00B4A"/>
    <w:rsid w:val="00F00EDC"/>
    <w:rsid w:val="00F015B1"/>
    <w:rsid w:val="00F0195D"/>
    <w:rsid w:val="00F023D5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438A"/>
    <w:rsid w:val="00F3479E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392A"/>
    <w:rsid w:val="00F6409D"/>
    <w:rsid w:val="00F667C0"/>
    <w:rsid w:val="00F668B6"/>
    <w:rsid w:val="00F6690B"/>
    <w:rsid w:val="00F675FA"/>
    <w:rsid w:val="00F72CC6"/>
    <w:rsid w:val="00F73D04"/>
    <w:rsid w:val="00F73D18"/>
    <w:rsid w:val="00F8016A"/>
    <w:rsid w:val="00F817A4"/>
    <w:rsid w:val="00F828DE"/>
    <w:rsid w:val="00F84A1E"/>
    <w:rsid w:val="00F87A4C"/>
    <w:rsid w:val="00F93386"/>
    <w:rsid w:val="00FA378A"/>
    <w:rsid w:val="00FA6872"/>
    <w:rsid w:val="00FA7BCF"/>
    <w:rsid w:val="00FA7FD0"/>
    <w:rsid w:val="00FB1531"/>
    <w:rsid w:val="00FC4097"/>
    <w:rsid w:val="00FC475B"/>
    <w:rsid w:val="00FC4980"/>
    <w:rsid w:val="00FC6CD6"/>
    <w:rsid w:val="00FD0522"/>
    <w:rsid w:val="00FD2961"/>
    <w:rsid w:val="00FD2A79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47E64-4209-4626-9B7A-919C96FF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095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19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779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31996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458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92028311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8786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A3AA1-AA08-45E8-8294-C9724845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5844</Words>
  <Characters>33316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8</cp:revision>
  <cp:lastPrinted>2019-12-25T10:59:00Z</cp:lastPrinted>
  <dcterms:created xsi:type="dcterms:W3CDTF">2020-11-13T09:23:00Z</dcterms:created>
  <dcterms:modified xsi:type="dcterms:W3CDTF">2020-11-16T08:41:00Z</dcterms:modified>
</cp:coreProperties>
</file>