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85" w:rsidRPr="006F6D85" w:rsidRDefault="00823B91" w:rsidP="00495826">
      <w:pPr>
        <w:jc w:val="center"/>
        <w:rPr>
          <w:b/>
          <w:bCs/>
          <w:sz w:val="26"/>
          <w:szCs w:val="26"/>
        </w:rPr>
      </w:pPr>
      <w:r w:rsidRPr="003A3884">
        <w:rPr>
          <w:b/>
          <w:bCs/>
          <w:sz w:val="26"/>
          <w:szCs w:val="26"/>
          <w:u w:val="single"/>
        </w:rPr>
        <w:t>Извещение о проведении з</w:t>
      </w:r>
      <w:r w:rsidRPr="00446700">
        <w:rPr>
          <w:b/>
          <w:bCs/>
          <w:sz w:val="26"/>
          <w:szCs w:val="26"/>
          <w:u w:val="single"/>
        </w:rPr>
        <w:t xml:space="preserve">апроса предложений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D96B4C" w:rsidRPr="00446700">
        <w:rPr>
          <w:b/>
          <w:bCs/>
          <w:sz w:val="26"/>
          <w:szCs w:val="26"/>
          <w:u w:val="single"/>
        </w:rPr>
        <w:br/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6941AB">
        <w:rPr>
          <w:b/>
          <w:bCs/>
          <w:sz w:val="26"/>
          <w:szCs w:val="26"/>
          <w:u w:val="single"/>
        </w:rPr>
        <w:t>8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Pr="00446700">
        <w:rPr>
          <w:b/>
          <w:bCs/>
          <w:sz w:val="26"/>
          <w:szCs w:val="26"/>
          <w:u w:val="single"/>
        </w:rPr>
        <w:t>ЗП/20</w:t>
      </w:r>
      <w:r w:rsidR="00514A8B">
        <w:rPr>
          <w:b/>
          <w:bCs/>
          <w:sz w:val="26"/>
          <w:szCs w:val="26"/>
          <w:u w:val="single"/>
        </w:rPr>
        <w:t>20</w:t>
      </w:r>
      <w:r w:rsidR="006F6D85">
        <w:rPr>
          <w:b/>
          <w:bCs/>
          <w:sz w:val="26"/>
          <w:szCs w:val="26"/>
          <w:u w:val="single"/>
        </w:rPr>
        <w:t xml:space="preserve"> в </w:t>
      </w:r>
      <w:r w:rsidR="006F6D85" w:rsidRPr="006F6D85">
        <w:rPr>
          <w:b/>
          <w:bCs/>
          <w:sz w:val="26"/>
          <w:szCs w:val="26"/>
          <w:u w:val="single"/>
        </w:rPr>
        <w:t>редакции №2</w:t>
      </w:r>
    </w:p>
    <w:p w:rsidR="008E1E94" w:rsidRPr="00AB2A18" w:rsidRDefault="006757ED" w:rsidP="00AB2A18">
      <w:pPr>
        <w:tabs>
          <w:tab w:val="left" w:pos="-142"/>
        </w:tabs>
        <w:jc w:val="center"/>
        <w:rPr>
          <w:b/>
          <w:bCs/>
          <w:sz w:val="26"/>
          <w:szCs w:val="26"/>
        </w:rPr>
      </w:pPr>
      <w:r w:rsidRPr="006757ED">
        <w:rPr>
          <w:b/>
          <w:bCs/>
          <w:sz w:val="26"/>
          <w:szCs w:val="26"/>
        </w:rPr>
        <w:t xml:space="preserve">на </w:t>
      </w:r>
      <w:r w:rsidRPr="008E1E94">
        <w:rPr>
          <w:b/>
          <w:bCs/>
          <w:sz w:val="26"/>
          <w:szCs w:val="26"/>
        </w:rPr>
        <w:t>проведение закупки путем запроса предложений в электронной форме</w:t>
      </w:r>
      <w:r w:rsidR="00495826" w:rsidRPr="008E1E94">
        <w:rPr>
          <w:b/>
          <w:bCs/>
          <w:sz w:val="26"/>
          <w:szCs w:val="26"/>
        </w:rPr>
        <w:br/>
      </w:r>
      <w:r w:rsidR="00AB2A18" w:rsidRPr="00AB2A18">
        <w:rPr>
          <w:b/>
          <w:sz w:val="26"/>
          <w:szCs w:val="26"/>
        </w:rPr>
        <w:t xml:space="preserve">на выполнение работ </w:t>
      </w:r>
      <w:r w:rsidR="00AB2A18" w:rsidRPr="00AB2A18">
        <w:rPr>
          <w:b/>
          <w:bCs/>
          <w:sz w:val="26"/>
          <w:szCs w:val="26"/>
        </w:rPr>
        <w:t>по комплексному обследованию технического состояния, а также инженерно-геологическим и инженерно-геодезическим изысканиям жилого дома, расположенного по адресу: г. Санкт-Петербург, Каменноостровский проспект, дом 24, литер Б</w:t>
      </w:r>
    </w:p>
    <w:p w:rsidR="00AB2A18" w:rsidRPr="008E1E94" w:rsidRDefault="00AB2A18" w:rsidP="00AB2A18">
      <w:pPr>
        <w:tabs>
          <w:tab w:val="left" w:pos="-142"/>
        </w:tabs>
        <w:jc w:val="center"/>
        <w:rPr>
          <w:b/>
          <w:bCs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AB2A18">
              <w:rPr>
                <w:sz w:val="24"/>
                <w:szCs w:val="24"/>
              </w:rPr>
              <w:t>Носов Вадим Андреевич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AB2A18" w:rsidRDefault="008E1E94" w:rsidP="00495826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4C2E4F">
              <w:rPr>
                <w:sz w:val="24"/>
                <w:szCs w:val="24"/>
              </w:rPr>
              <w:t xml:space="preserve">Выполнение работ </w:t>
            </w:r>
            <w:r w:rsidR="006941AB" w:rsidRPr="006941AB">
              <w:rPr>
                <w:bCs/>
                <w:sz w:val="24"/>
                <w:szCs w:val="24"/>
              </w:rPr>
              <w:t xml:space="preserve">по комплексному обследованию технического состояния, а также инженерно-геологическим и инженерно-геодезическим изысканиям жилого дома, расположенного по адресу: </w:t>
            </w:r>
          </w:p>
          <w:p w:rsidR="00544A6A" w:rsidRPr="00D96B4C" w:rsidRDefault="006941AB" w:rsidP="00495826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6941AB">
              <w:rPr>
                <w:bCs/>
                <w:sz w:val="24"/>
                <w:szCs w:val="24"/>
              </w:rPr>
              <w:t>г. Санкт-Петербург, Каменноостровский проспект, дом 24, литер Б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C0BFE" w:rsidRDefault="00544A6A" w:rsidP="0067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6941AB" w:rsidRDefault="006941AB" w:rsidP="004E42C4">
            <w:pPr>
              <w:jc w:val="center"/>
              <w:rPr>
                <w:sz w:val="24"/>
                <w:szCs w:val="24"/>
              </w:rPr>
            </w:pPr>
            <w:r w:rsidRPr="006941AB">
              <w:rPr>
                <w:sz w:val="24"/>
                <w:szCs w:val="24"/>
              </w:rPr>
              <w:t>1 278 740 (один миллион двести семьдесят восемь тысяч семьсот сорок)</w:t>
            </w:r>
            <w:r>
              <w:rPr>
                <w:sz w:val="24"/>
                <w:szCs w:val="24"/>
              </w:rPr>
              <w:t xml:space="preserve"> рублей 00 коп.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 w:rsidR="006757ED"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E42C4" w:rsidRPr="00CC0BFE" w:rsidRDefault="0086351A" w:rsidP="00514A8B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1E94" w:rsidRPr="00AB2A18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(шестьдесят</w:t>
            </w:r>
            <w:r w:rsidR="008E1E94" w:rsidRPr="00AB2A18">
              <w:rPr>
                <w:sz w:val="24"/>
                <w:szCs w:val="24"/>
              </w:rPr>
              <w:t>) календарных дней</w:t>
            </w:r>
            <w:r w:rsidR="008E1E94" w:rsidRPr="0095496A">
              <w:rPr>
                <w:sz w:val="24"/>
                <w:szCs w:val="24"/>
              </w:rPr>
              <w:t xml:space="preserve"> с </w:t>
            </w:r>
            <w:r w:rsidR="008E1E94">
              <w:rPr>
                <w:sz w:val="24"/>
                <w:szCs w:val="24"/>
              </w:rPr>
              <w:t>даты передачи по акту исходных данных, указанных в техническом задании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 w:rsidR="006757ED"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A34E3C" w:rsidRPr="00CC0BFE" w:rsidRDefault="008E1E94" w:rsidP="00495826">
            <w:pPr>
              <w:tabs>
                <w:tab w:val="left" w:pos="-142"/>
              </w:tabs>
              <w:ind w:firstLine="709"/>
              <w:jc w:val="center"/>
              <w:rPr>
                <w:bCs/>
                <w:sz w:val="24"/>
                <w:szCs w:val="24"/>
              </w:rPr>
            </w:pPr>
            <w:r w:rsidRPr="004C2E4F">
              <w:rPr>
                <w:sz w:val="24"/>
                <w:szCs w:val="24"/>
              </w:rPr>
              <w:t xml:space="preserve">Санкт-Петербург, </w:t>
            </w:r>
            <w:r w:rsidR="006941AB" w:rsidRPr="006941AB">
              <w:rPr>
                <w:bCs/>
                <w:sz w:val="24"/>
                <w:szCs w:val="24"/>
              </w:rPr>
              <w:t>Каменноостровский проспект, дом 24, лит. Б.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66614" w:rsidRPr="00266614">
              <w:rPr>
                <w:bCs/>
                <w:sz w:val="24"/>
                <w:szCs w:val="24"/>
              </w:rPr>
              <w:br/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6F6D85">
              <w:rPr>
                <w:b/>
                <w:bCs/>
                <w:sz w:val="24"/>
                <w:szCs w:val="24"/>
              </w:rPr>
              <w:t>14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AB2A18">
              <w:rPr>
                <w:b/>
                <w:bCs/>
                <w:sz w:val="24"/>
                <w:szCs w:val="24"/>
              </w:rPr>
              <w:t xml:space="preserve">июля </w:t>
            </w:r>
            <w:r w:rsidR="00D54BBD">
              <w:rPr>
                <w:b/>
                <w:bCs/>
                <w:sz w:val="24"/>
                <w:szCs w:val="24"/>
              </w:rPr>
              <w:t>20</w:t>
            </w:r>
            <w:r w:rsidR="006B61A0">
              <w:rPr>
                <w:b/>
                <w:bCs/>
                <w:sz w:val="24"/>
                <w:szCs w:val="24"/>
              </w:rPr>
              <w:t>20</w:t>
            </w:r>
            <w:r w:rsidR="00D54BBD">
              <w:rPr>
                <w:b/>
                <w:bCs/>
                <w:sz w:val="24"/>
                <w:szCs w:val="24"/>
              </w:rPr>
              <w:t xml:space="preserve"> г., </w:t>
            </w:r>
            <w:r w:rsidR="006F6D85">
              <w:rPr>
                <w:b/>
                <w:bCs/>
                <w:sz w:val="24"/>
                <w:szCs w:val="24"/>
              </w:rPr>
              <w:t>10</w:t>
            </w:r>
            <w:r w:rsidR="006B1EF9">
              <w:rPr>
                <w:b/>
                <w:bCs/>
                <w:sz w:val="24"/>
                <w:szCs w:val="24"/>
              </w:rPr>
              <w:t xml:space="preserve"> час. </w:t>
            </w:r>
            <w:r w:rsidR="00D54BBD">
              <w:rPr>
                <w:b/>
                <w:bCs/>
                <w:sz w:val="24"/>
                <w:szCs w:val="24"/>
              </w:rPr>
              <w:t>00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266614" w:rsidRPr="008143EF" w:rsidRDefault="004C1E93" w:rsidP="009E0689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запросе предложений представляет собой предложение участника закупки, сформированное путем заполнения </w:t>
            </w:r>
            <w:r w:rsidRPr="009F496E">
              <w:rPr>
                <w:sz w:val="24"/>
                <w:szCs w:val="24"/>
              </w:rPr>
              <w:lastRenderedPageBreak/>
              <w:t>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A3752E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B61A0" w:rsidRPr="009E0689">
              <w:rPr>
                <w:b/>
                <w:bCs/>
                <w:sz w:val="24"/>
                <w:szCs w:val="24"/>
              </w:rPr>
              <w:t>«</w:t>
            </w:r>
            <w:r w:rsidR="006F6D85">
              <w:rPr>
                <w:b/>
                <w:bCs/>
                <w:sz w:val="24"/>
                <w:szCs w:val="24"/>
              </w:rPr>
              <w:t>15</w:t>
            </w:r>
            <w:r w:rsidR="006B61A0"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AB2A18">
              <w:rPr>
                <w:b/>
                <w:bCs/>
                <w:sz w:val="24"/>
                <w:szCs w:val="24"/>
              </w:rPr>
              <w:t>июля</w:t>
            </w:r>
            <w:r w:rsidR="006B61A0">
              <w:rPr>
                <w:b/>
                <w:bCs/>
                <w:sz w:val="24"/>
                <w:szCs w:val="24"/>
              </w:rPr>
              <w:t xml:space="preserve"> 2020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1277" w:rsidRDefault="004C1E93" w:rsidP="004C1E9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6B61A0" w:rsidRPr="009E0689">
              <w:rPr>
                <w:b/>
                <w:bCs/>
                <w:sz w:val="24"/>
                <w:szCs w:val="24"/>
              </w:rPr>
              <w:t>«</w:t>
            </w:r>
            <w:r w:rsidR="006F6D85">
              <w:rPr>
                <w:b/>
                <w:bCs/>
                <w:sz w:val="24"/>
                <w:szCs w:val="24"/>
              </w:rPr>
              <w:t>17</w:t>
            </w:r>
            <w:r w:rsidR="006B61A0"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AB2A18">
              <w:rPr>
                <w:b/>
                <w:bCs/>
                <w:sz w:val="24"/>
                <w:szCs w:val="24"/>
              </w:rPr>
              <w:t>июл</w:t>
            </w:r>
            <w:r w:rsidR="00A3752E">
              <w:rPr>
                <w:b/>
                <w:bCs/>
                <w:sz w:val="24"/>
                <w:szCs w:val="24"/>
              </w:rPr>
              <w:t xml:space="preserve">я </w:t>
            </w:r>
            <w:r w:rsidR="006B61A0">
              <w:rPr>
                <w:b/>
                <w:bCs/>
                <w:sz w:val="24"/>
                <w:szCs w:val="24"/>
              </w:rPr>
              <w:t>2020</w:t>
            </w:r>
            <w:r w:rsidR="006B61A0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9E1277" w:rsidRPr="009E1277" w:rsidRDefault="009E1277" w:rsidP="009E12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6F6D85">
              <w:rPr>
                <w:b/>
                <w:bCs/>
                <w:sz w:val="24"/>
                <w:szCs w:val="24"/>
              </w:rPr>
              <w:t>20</w:t>
            </w:r>
            <w:bookmarkStart w:id="0" w:name="_GoBack"/>
            <w:bookmarkEnd w:id="0"/>
            <w:r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AB2A18">
              <w:rPr>
                <w:b/>
                <w:bCs/>
                <w:sz w:val="24"/>
                <w:szCs w:val="24"/>
              </w:rPr>
              <w:t>июл</w:t>
            </w:r>
            <w:r w:rsidR="006B61A0">
              <w:rPr>
                <w:b/>
                <w:bCs/>
                <w:sz w:val="24"/>
                <w:szCs w:val="24"/>
              </w:rPr>
              <w:t>я</w:t>
            </w:r>
            <w:r w:rsidR="00001D49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6B61A0">
              <w:rPr>
                <w:b/>
                <w:bCs/>
                <w:sz w:val="24"/>
                <w:szCs w:val="24"/>
              </w:rPr>
              <w:t>20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9E0689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AB2A18">
        <w:rPr>
          <w:b/>
          <w:sz w:val="26"/>
          <w:szCs w:val="26"/>
        </w:rPr>
        <w:t>капитальному ремонту</w:t>
      </w:r>
      <w:r>
        <w:rPr>
          <w:b/>
          <w:sz w:val="26"/>
          <w:szCs w:val="26"/>
        </w:rPr>
        <w:t xml:space="preserve">                                                </w:t>
      </w:r>
      <w:r w:rsidR="006B61A0">
        <w:rPr>
          <w:b/>
          <w:sz w:val="26"/>
          <w:szCs w:val="26"/>
        </w:rPr>
        <w:t xml:space="preserve">           </w:t>
      </w:r>
      <w:r w:rsidR="00AB2A18">
        <w:rPr>
          <w:b/>
          <w:sz w:val="26"/>
          <w:szCs w:val="26"/>
        </w:rPr>
        <w:t xml:space="preserve">                    </w:t>
      </w:r>
      <w:r w:rsidR="006B61A0">
        <w:rPr>
          <w:b/>
          <w:sz w:val="26"/>
          <w:szCs w:val="26"/>
        </w:rPr>
        <w:t xml:space="preserve">        </w:t>
      </w:r>
      <w:proofErr w:type="spellStart"/>
      <w:r w:rsidR="00AB2A18">
        <w:rPr>
          <w:b/>
          <w:sz w:val="26"/>
          <w:szCs w:val="26"/>
        </w:rPr>
        <w:t>В.А.Носов</w:t>
      </w:r>
      <w:proofErr w:type="spellEnd"/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3B5C"/>
    <w:rsid w:val="00005021"/>
    <w:rsid w:val="00006122"/>
    <w:rsid w:val="00007ECD"/>
    <w:rsid w:val="00026BC6"/>
    <w:rsid w:val="000405C2"/>
    <w:rsid w:val="0004124E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E79D2"/>
    <w:rsid w:val="003F1300"/>
    <w:rsid w:val="003F588B"/>
    <w:rsid w:val="003F6D70"/>
    <w:rsid w:val="004102CF"/>
    <w:rsid w:val="004127FD"/>
    <w:rsid w:val="0042243D"/>
    <w:rsid w:val="00422BF3"/>
    <w:rsid w:val="00434D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42C4"/>
    <w:rsid w:val="004E569E"/>
    <w:rsid w:val="004F01C5"/>
    <w:rsid w:val="00507ECB"/>
    <w:rsid w:val="0051029F"/>
    <w:rsid w:val="0051125E"/>
    <w:rsid w:val="00514A8B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6296"/>
    <w:rsid w:val="005E12A6"/>
    <w:rsid w:val="005E2BFF"/>
    <w:rsid w:val="005E408D"/>
    <w:rsid w:val="005E5BA3"/>
    <w:rsid w:val="005F14EE"/>
    <w:rsid w:val="005F1792"/>
    <w:rsid w:val="005F198E"/>
    <w:rsid w:val="005F54D0"/>
    <w:rsid w:val="005F776A"/>
    <w:rsid w:val="006026DA"/>
    <w:rsid w:val="0060310E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7CBF"/>
    <w:rsid w:val="00661AF1"/>
    <w:rsid w:val="00662F0D"/>
    <w:rsid w:val="00672AAD"/>
    <w:rsid w:val="006757ED"/>
    <w:rsid w:val="006762B3"/>
    <w:rsid w:val="00685901"/>
    <w:rsid w:val="00692B98"/>
    <w:rsid w:val="006941AB"/>
    <w:rsid w:val="006B1BF9"/>
    <w:rsid w:val="006B1EF9"/>
    <w:rsid w:val="006B61A0"/>
    <w:rsid w:val="006C087F"/>
    <w:rsid w:val="006C226E"/>
    <w:rsid w:val="006C7F82"/>
    <w:rsid w:val="006F3FB8"/>
    <w:rsid w:val="006F6D85"/>
    <w:rsid w:val="0070040F"/>
    <w:rsid w:val="007100CB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351A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5FA7"/>
    <w:rsid w:val="008B6DF2"/>
    <w:rsid w:val="008C3E3A"/>
    <w:rsid w:val="008D4FEB"/>
    <w:rsid w:val="008E1E94"/>
    <w:rsid w:val="008E23DE"/>
    <w:rsid w:val="00902E56"/>
    <w:rsid w:val="00903A59"/>
    <w:rsid w:val="0090483B"/>
    <w:rsid w:val="00912E57"/>
    <w:rsid w:val="009152D8"/>
    <w:rsid w:val="00917BE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13820"/>
    <w:rsid w:val="00A150B6"/>
    <w:rsid w:val="00A16F38"/>
    <w:rsid w:val="00A20CF1"/>
    <w:rsid w:val="00A340B7"/>
    <w:rsid w:val="00A34E3C"/>
    <w:rsid w:val="00A34EF2"/>
    <w:rsid w:val="00A3752E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5884"/>
    <w:rsid w:val="00A86B44"/>
    <w:rsid w:val="00A879F3"/>
    <w:rsid w:val="00A97301"/>
    <w:rsid w:val="00AA35E3"/>
    <w:rsid w:val="00AA4F41"/>
    <w:rsid w:val="00AA6ECB"/>
    <w:rsid w:val="00AB2A18"/>
    <w:rsid w:val="00AB7A81"/>
    <w:rsid w:val="00AC4499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B1A09"/>
    <w:rsid w:val="00CB693C"/>
    <w:rsid w:val="00CC0BFE"/>
    <w:rsid w:val="00CD3183"/>
    <w:rsid w:val="00CE349E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2AD8"/>
    <w:rsid w:val="00F03D13"/>
    <w:rsid w:val="00F04B95"/>
    <w:rsid w:val="00F201EC"/>
    <w:rsid w:val="00F21DE8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568C"/>
    <w:rsid w:val="00FA43BF"/>
    <w:rsid w:val="00FA4D56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CB794-A852-491B-ABD0-3273B5A1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0</TotalTime>
  <Pages>3</Pages>
  <Words>1045</Words>
  <Characters>7349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8378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2</cp:revision>
  <cp:lastPrinted>2018-11-28T08:43:00Z</cp:lastPrinted>
  <dcterms:created xsi:type="dcterms:W3CDTF">2020-07-08T09:19:00Z</dcterms:created>
  <dcterms:modified xsi:type="dcterms:W3CDTF">2020-07-08T09:19:00Z</dcterms:modified>
</cp:coreProperties>
</file>