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запроса </w:t>
      </w:r>
      <w:r w:rsidRPr="00CB1A09">
        <w:rPr>
          <w:b/>
          <w:bCs/>
          <w:sz w:val="26"/>
          <w:szCs w:val="26"/>
          <w:u w:val="single"/>
        </w:rPr>
        <w:t xml:space="preserve">предложений </w:t>
      </w:r>
      <w:r w:rsidR="00D96B4C">
        <w:rPr>
          <w:b/>
          <w:bCs/>
          <w:sz w:val="26"/>
          <w:szCs w:val="26"/>
          <w:u w:val="single"/>
        </w:rPr>
        <w:t>в электронной форме</w:t>
      </w:r>
      <w:r w:rsidR="00D96B4C">
        <w:rPr>
          <w:b/>
          <w:bCs/>
          <w:sz w:val="26"/>
          <w:szCs w:val="26"/>
          <w:u w:val="single"/>
        </w:rPr>
        <w:br/>
      </w:r>
      <w:r w:rsidRPr="00CB1A09">
        <w:rPr>
          <w:b/>
          <w:bCs/>
          <w:sz w:val="26"/>
          <w:szCs w:val="26"/>
          <w:u w:val="single"/>
        </w:rPr>
        <w:t>№</w:t>
      </w:r>
      <w:r w:rsidR="008A04D9">
        <w:rPr>
          <w:b/>
          <w:bCs/>
          <w:sz w:val="26"/>
          <w:szCs w:val="26"/>
          <w:u w:val="single"/>
        </w:rPr>
        <w:t xml:space="preserve"> </w:t>
      </w:r>
      <w:r w:rsidR="00A039FD" w:rsidRPr="00A039FD">
        <w:rPr>
          <w:b/>
          <w:bCs/>
          <w:sz w:val="26"/>
          <w:szCs w:val="26"/>
          <w:u w:val="single"/>
        </w:rPr>
        <w:t>6</w:t>
      </w:r>
      <w:r w:rsidRPr="00CB1A09">
        <w:rPr>
          <w:b/>
          <w:bCs/>
          <w:sz w:val="26"/>
          <w:szCs w:val="26"/>
          <w:u w:val="single"/>
        </w:rPr>
        <w:t>-</w:t>
      </w:r>
      <w:r w:rsidR="00745A67">
        <w:rPr>
          <w:b/>
          <w:bCs/>
          <w:sz w:val="26"/>
          <w:szCs w:val="26"/>
          <w:u w:val="single"/>
        </w:rPr>
        <w:t>Э</w:t>
      </w:r>
      <w:r w:rsidRPr="00CB1A09">
        <w:rPr>
          <w:b/>
          <w:bCs/>
          <w:sz w:val="26"/>
          <w:szCs w:val="26"/>
          <w:u w:val="single"/>
        </w:rPr>
        <w:t>ЗП/</w:t>
      </w:r>
      <w:r w:rsidR="00546FA9">
        <w:rPr>
          <w:b/>
          <w:bCs/>
          <w:sz w:val="26"/>
          <w:szCs w:val="26"/>
          <w:u w:val="single"/>
        </w:rPr>
        <w:t>20</w:t>
      </w:r>
      <w:r w:rsidR="00B5358F">
        <w:rPr>
          <w:b/>
          <w:bCs/>
          <w:sz w:val="26"/>
          <w:szCs w:val="26"/>
          <w:u w:val="single"/>
        </w:rPr>
        <w:t>21</w:t>
      </w:r>
    </w:p>
    <w:p w:rsidR="00FA0E77" w:rsidRPr="00A039FD" w:rsidRDefault="00A039FD" w:rsidP="00764CB3">
      <w:pPr>
        <w:ind w:firstLine="709"/>
        <w:jc w:val="center"/>
        <w:rPr>
          <w:b/>
          <w:sz w:val="26"/>
          <w:szCs w:val="26"/>
        </w:rPr>
      </w:pPr>
      <w:r w:rsidRPr="00A039FD">
        <w:rPr>
          <w:b/>
          <w:bCs/>
          <w:sz w:val="26"/>
          <w:szCs w:val="26"/>
        </w:rPr>
        <w:t xml:space="preserve">на право </w:t>
      </w:r>
      <w:r w:rsidRPr="00A039FD">
        <w:rPr>
          <w:b/>
          <w:sz w:val="26"/>
          <w:szCs w:val="26"/>
        </w:rPr>
        <w:t>проведения ремонтно-восстановительных работ в квартирах многоквартирных домов</w:t>
      </w:r>
    </w:p>
    <w:p w:rsidR="00A039FD" w:rsidRPr="00D96B4C" w:rsidRDefault="00A039FD" w:rsidP="00764CB3">
      <w:pPr>
        <w:ind w:firstLine="709"/>
        <w:jc w:val="center"/>
        <w:rPr>
          <w:b/>
          <w:sz w:val="26"/>
          <w:szCs w:val="26"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8080"/>
      </w:tblGrid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8080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A039FD">
        <w:tc>
          <w:tcPr>
            <w:tcW w:w="2977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A039FD">
              <w:rPr>
                <w:sz w:val="24"/>
                <w:szCs w:val="24"/>
              </w:rPr>
              <w:t>Антропов Александр Владимирович</w:t>
            </w:r>
            <w:r w:rsidRPr="000A7F3E">
              <w:rPr>
                <w:sz w:val="24"/>
                <w:szCs w:val="24"/>
              </w:rPr>
              <w:t xml:space="preserve">, </w:t>
            </w:r>
          </w:p>
          <w:p w:rsidR="00544A6A" w:rsidRPr="000A7F3E" w:rsidRDefault="00544A6A" w:rsidP="009E0689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</w:t>
            </w:r>
            <w:r w:rsidR="00DD6543">
              <w:rPr>
                <w:sz w:val="24"/>
                <w:szCs w:val="24"/>
              </w:rPr>
              <w:t>331-57-37,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A039FD">
        <w:trPr>
          <w:trHeight w:val="395"/>
        </w:trPr>
        <w:tc>
          <w:tcPr>
            <w:tcW w:w="11057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A039FD" w:rsidRPr="00B5358F" w:rsidRDefault="00A039FD" w:rsidP="00A039F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Выполнение ремонтно-восстановительных работ в квартирах многоквартирных домов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8080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A039FD" w:rsidRPr="00014B99" w:rsidRDefault="008E14E6" w:rsidP="00A039FD">
            <w:pPr>
              <w:pStyle w:val="aa"/>
              <w:tabs>
                <w:tab w:val="clear" w:pos="1134"/>
              </w:tabs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3 314 639</w:t>
            </w:r>
            <w:bookmarkStart w:id="0" w:name="_GoBack"/>
            <w:bookmarkEnd w:id="0"/>
            <w:r w:rsidR="00A039FD" w:rsidRPr="00DF2AE1">
              <w:rPr>
                <w:sz w:val="24"/>
                <w:szCs w:val="24"/>
              </w:rPr>
              <w:t xml:space="preserve"> (</w:t>
            </w:r>
            <w:r w:rsidR="00A039FD">
              <w:rPr>
                <w:sz w:val="24"/>
                <w:szCs w:val="24"/>
              </w:rPr>
              <w:t>три миллиона триста четырнадцать тысяч шестьсот тридцать девять</w:t>
            </w:r>
            <w:r w:rsidR="00A039FD" w:rsidRPr="00DF2AE1">
              <w:rPr>
                <w:sz w:val="24"/>
                <w:szCs w:val="24"/>
              </w:rPr>
              <w:t>)</w:t>
            </w:r>
            <w:r w:rsidR="00A039FD">
              <w:rPr>
                <w:sz w:val="24"/>
                <w:szCs w:val="24"/>
              </w:rPr>
              <w:t xml:space="preserve"> рублей 39</w:t>
            </w:r>
            <w:r w:rsidR="00A039FD" w:rsidRPr="0095496A">
              <w:rPr>
                <w:sz w:val="24"/>
                <w:szCs w:val="24"/>
              </w:rPr>
              <w:t xml:space="preserve"> </w:t>
            </w:r>
            <w:r w:rsidR="00A039FD" w:rsidRPr="00014B99">
              <w:rPr>
                <w:sz w:val="24"/>
                <w:szCs w:val="24"/>
              </w:rPr>
              <w:t>копеек.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44A6A" w:rsidRDefault="00544A6A" w:rsidP="00656067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C0BFE">
              <w:rPr>
                <w:sz w:val="24"/>
                <w:szCs w:val="24"/>
              </w:rPr>
              <w:t xml:space="preserve">в течение </w:t>
            </w:r>
            <w:r w:rsidR="00A039FD">
              <w:rPr>
                <w:sz w:val="24"/>
                <w:szCs w:val="24"/>
              </w:rPr>
              <w:t>3</w:t>
            </w:r>
            <w:r w:rsidR="00B5358F">
              <w:rPr>
                <w:sz w:val="24"/>
                <w:szCs w:val="24"/>
              </w:rPr>
              <w:t>0</w:t>
            </w:r>
            <w:r w:rsidRPr="00CC0BFE">
              <w:rPr>
                <w:sz w:val="24"/>
                <w:szCs w:val="24"/>
              </w:rPr>
              <w:t xml:space="preserve"> календарных дней </w:t>
            </w:r>
          </w:p>
          <w:p w:rsidR="007D5EEA" w:rsidRPr="00CC0BFE" w:rsidRDefault="007D5EEA" w:rsidP="00B5358F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A039FD" w:rsidRPr="00A039FD" w:rsidRDefault="00A039FD" w:rsidP="00A039FD">
            <w:pPr>
              <w:pStyle w:val="a8"/>
              <w:tabs>
                <w:tab w:val="left" w:pos="-142"/>
              </w:tabs>
              <w:snapToGrid w:val="0"/>
              <w:ind w:left="0"/>
              <w:jc w:val="both"/>
              <w:rPr>
                <w:bCs/>
                <w:sz w:val="22"/>
                <w:szCs w:val="22"/>
              </w:rPr>
            </w:pPr>
            <w:r w:rsidRPr="00A039FD">
              <w:rPr>
                <w:sz w:val="22"/>
                <w:szCs w:val="22"/>
              </w:rPr>
              <w:t>1.Санкт-Петербург, п. Парголово, ул. Первого Мая, д. 101, литера. А, кв. 50</w:t>
            </w:r>
          </w:p>
          <w:p w:rsidR="00A039FD" w:rsidRPr="00A039FD" w:rsidRDefault="00A039FD" w:rsidP="00A039FD">
            <w:pPr>
              <w:pStyle w:val="a8"/>
              <w:tabs>
                <w:tab w:val="left" w:pos="-142"/>
              </w:tabs>
              <w:snapToGrid w:val="0"/>
              <w:ind w:left="0"/>
              <w:jc w:val="both"/>
              <w:rPr>
                <w:bCs/>
                <w:sz w:val="22"/>
                <w:szCs w:val="22"/>
              </w:rPr>
            </w:pPr>
            <w:r w:rsidRPr="00A039FD">
              <w:rPr>
                <w:color w:val="000000"/>
                <w:sz w:val="22"/>
                <w:szCs w:val="22"/>
              </w:rPr>
              <w:t>2. Санкт-Петербург, улица Лесопарковая, д. 8, лит. А, кв. 11</w:t>
            </w:r>
          </w:p>
          <w:p w:rsidR="00A039FD" w:rsidRPr="00A039FD" w:rsidRDefault="00A039FD" w:rsidP="00A039FD">
            <w:pPr>
              <w:pStyle w:val="a8"/>
              <w:tabs>
                <w:tab w:val="left" w:pos="-142"/>
              </w:tabs>
              <w:snapToGrid w:val="0"/>
              <w:ind w:left="0"/>
              <w:jc w:val="both"/>
              <w:rPr>
                <w:bCs/>
                <w:sz w:val="22"/>
                <w:szCs w:val="22"/>
              </w:rPr>
            </w:pPr>
            <w:r w:rsidRPr="00A039FD">
              <w:rPr>
                <w:color w:val="000000"/>
                <w:sz w:val="22"/>
                <w:szCs w:val="22"/>
              </w:rPr>
              <w:t>3. Санкт-Петербург, пос. Парголово, улица Фёдора Абрамова, д. 18, корп. 1, лит. А, кв.239</w:t>
            </w:r>
          </w:p>
          <w:p w:rsidR="00A039FD" w:rsidRPr="00A039FD" w:rsidRDefault="00A039FD" w:rsidP="00A039FD">
            <w:pPr>
              <w:pStyle w:val="a8"/>
              <w:tabs>
                <w:tab w:val="left" w:pos="-142"/>
              </w:tabs>
              <w:snapToGrid w:val="0"/>
              <w:ind w:left="0"/>
              <w:jc w:val="both"/>
              <w:rPr>
                <w:bCs/>
                <w:sz w:val="22"/>
                <w:szCs w:val="22"/>
              </w:rPr>
            </w:pPr>
            <w:r w:rsidRPr="00A039FD">
              <w:rPr>
                <w:color w:val="000000"/>
                <w:sz w:val="22"/>
                <w:szCs w:val="22"/>
              </w:rPr>
              <w:t xml:space="preserve">4. Всеволожск, </w:t>
            </w:r>
            <w:proofErr w:type="spellStart"/>
            <w:r w:rsidRPr="00A039FD">
              <w:rPr>
                <w:color w:val="000000"/>
                <w:sz w:val="22"/>
                <w:szCs w:val="22"/>
              </w:rPr>
              <w:t>Колтушское</w:t>
            </w:r>
            <w:proofErr w:type="spellEnd"/>
            <w:r w:rsidRPr="00A039FD">
              <w:rPr>
                <w:color w:val="000000"/>
                <w:sz w:val="22"/>
                <w:szCs w:val="22"/>
              </w:rPr>
              <w:t xml:space="preserve"> ш., д. 124, корп. 2, лит. Б</w:t>
            </w:r>
          </w:p>
          <w:p w:rsidR="00A039FD" w:rsidRPr="00A039FD" w:rsidRDefault="00A039FD" w:rsidP="00A039FD">
            <w:pPr>
              <w:pStyle w:val="a8"/>
              <w:tabs>
                <w:tab w:val="left" w:pos="-142"/>
              </w:tabs>
              <w:snapToGrid w:val="0"/>
              <w:ind w:left="0"/>
              <w:jc w:val="both"/>
              <w:rPr>
                <w:bCs/>
                <w:sz w:val="22"/>
                <w:szCs w:val="22"/>
              </w:rPr>
            </w:pPr>
            <w:r w:rsidRPr="00A039FD">
              <w:rPr>
                <w:color w:val="000000"/>
                <w:sz w:val="22"/>
                <w:szCs w:val="22"/>
              </w:rPr>
              <w:t xml:space="preserve">5. Санкт-Петербург, г. Красное Село, ул. </w:t>
            </w:r>
            <w:proofErr w:type="spellStart"/>
            <w:r w:rsidRPr="00A039FD">
              <w:rPr>
                <w:color w:val="000000"/>
                <w:sz w:val="22"/>
                <w:szCs w:val="22"/>
              </w:rPr>
              <w:t>Красногородская</w:t>
            </w:r>
            <w:proofErr w:type="spellEnd"/>
            <w:r w:rsidRPr="00A039FD">
              <w:rPr>
                <w:color w:val="000000"/>
                <w:sz w:val="22"/>
                <w:szCs w:val="22"/>
              </w:rPr>
              <w:t>, д. 7, корп.1, кв. 1</w:t>
            </w:r>
          </w:p>
          <w:p w:rsidR="00A039FD" w:rsidRPr="00A039FD" w:rsidRDefault="00A039FD" w:rsidP="00A039FD">
            <w:pPr>
              <w:pStyle w:val="a8"/>
              <w:tabs>
                <w:tab w:val="left" w:pos="-142"/>
              </w:tabs>
              <w:snapToGrid w:val="0"/>
              <w:ind w:left="0"/>
              <w:jc w:val="both"/>
              <w:rPr>
                <w:bCs/>
                <w:sz w:val="22"/>
                <w:szCs w:val="22"/>
              </w:rPr>
            </w:pPr>
            <w:r w:rsidRPr="00A039FD">
              <w:rPr>
                <w:color w:val="000000"/>
                <w:sz w:val="22"/>
                <w:szCs w:val="22"/>
              </w:rPr>
              <w:t>6. Санкт-Петербург, пр. Индустриальный д.23, кв. 83</w:t>
            </w:r>
          </w:p>
          <w:p w:rsidR="00A039FD" w:rsidRPr="00A039FD" w:rsidRDefault="00A039FD" w:rsidP="00A039FD">
            <w:pPr>
              <w:pStyle w:val="a8"/>
              <w:tabs>
                <w:tab w:val="left" w:pos="-142"/>
              </w:tabs>
              <w:snapToGrid w:val="0"/>
              <w:ind w:left="0"/>
              <w:jc w:val="both"/>
              <w:rPr>
                <w:bCs/>
                <w:sz w:val="22"/>
                <w:szCs w:val="22"/>
              </w:rPr>
            </w:pPr>
            <w:r w:rsidRPr="00A039FD">
              <w:rPr>
                <w:color w:val="000000"/>
                <w:sz w:val="22"/>
                <w:szCs w:val="22"/>
              </w:rPr>
              <w:t xml:space="preserve">7. Санкт-Петербург, п. </w:t>
            </w:r>
            <w:proofErr w:type="spellStart"/>
            <w:r w:rsidRPr="00A039FD">
              <w:rPr>
                <w:color w:val="000000"/>
                <w:sz w:val="22"/>
                <w:szCs w:val="22"/>
              </w:rPr>
              <w:t>Металлострой</w:t>
            </w:r>
            <w:proofErr w:type="spellEnd"/>
            <w:r w:rsidRPr="00A039FD">
              <w:rPr>
                <w:color w:val="000000"/>
                <w:sz w:val="22"/>
                <w:szCs w:val="22"/>
              </w:rPr>
              <w:t>, ул. Полевая, д. 1/25, кв. 25</w:t>
            </w:r>
          </w:p>
          <w:p w:rsidR="00A039FD" w:rsidRPr="00A039FD" w:rsidRDefault="00A039FD" w:rsidP="00A039FD">
            <w:pPr>
              <w:pStyle w:val="a8"/>
              <w:tabs>
                <w:tab w:val="left" w:pos="-142"/>
              </w:tabs>
              <w:snapToGrid w:val="0"/>
              <w:ind w:left="0"/>
              <w:jc w:val="both"/>
              <w:rPr>
                <w:bCs/>
                <w:sz w:val="22"/>
                <w:szCs w:val="22"/>
              </w:rPr>
            </w:pPr>
            <w:r w:rsidRPr="00A039FD">
              <w:rPr>
                <w:sz w:val="22"/>
                <w:szCs w:val="22"/>
              </w:rPr>
              <w:t>8. Санкт-Петербург, набережная реки Фонтанки, д. 133 А, кв. 11</w:t>
            </w:r>
          </w:p>
          <w:p w:rsidR="00A039FD" w:rsidRPr="00A039FD" w:rsidRDefault="00A039FD" w:rsidP="00A039FD">
            <w:pPr>
              <w:pStyle w:val="a8"/>
              <w:tabs>
                <w:tab w:val="left" w:pos="-142"/>
              </w:tabs>
              <w:snapToGrid w:val="0"/>
              <w:ind w:left="0"/>
              <w:jc w:val="both"/>
              <w:rPr>
                <w:bCs/>
                <w:sz w:val="22"/>
                <w:szCs w:val="22"/>
              </w:rPr>
            </w:pPr>
            <w:r w:rsidRPr="00A039FD">
              <w:rPr>
                <w:sz w:val="22"/>
                <w:szCs w:val="22"/>
              </w:rPr>
              <w:t>9. Санкт-Петербург, набережная реки Фонтанки, д. 133 А, кв. 13</w:t>
            </w:r>
          </w:p>
          <w:p w:rsidR="00DB0995" w:rsidRPr="00A039FD" w:rsidRDefault="00A039FD" w:rsidP="00A039FD">
            <w:pPr>
              <w:pStyle w:val="a8"/>
              <w:tabs>
                <w:tab w:val="left" w:pos="-142"/>
              </w:tabs>
              <w:snapToGrid w:val="0"/>
              <w:ind w:left="0"/>
              <w:jc w:val="both"/>
              <w:rPr>
                <w:bCs/>
                <w:color w:val="000000"/>
                <w:sz w:val="22"/>
                <w:szCs w:val="22"/>
              </w:rPr>
            </w:pPr>
            <w:r w:rsidRPr="00A039FD">
              <w:rPr>
                <w:bCs/>
                <w:color w:val="000000"/>
                <w:sz w:val="22"/>
                <w:szCs w:val="22"/>
              </w:rPr>
              <w:t xml:space="preserve">10. Санкт-Петербург, п. </w:t>
            </w:r>
            <w:proofErr w:type="spellStart"/>
            <w:r w:rsidRPr="00A039FD">
              <w:rPr>
                <w:bCs/>
                <w:color w:val="000000"/>
                <w:sz w:val="22"/>
                <w:szCs w:val="22"/>
              </w:rPr>
              <w:t>Шушары</w:t>
            </w:r>
            <w:proofErr w:type="spellEnd"/>
            <w:r w:rsidRPr="00A039FD">
              <w:rPr>
                <w:bCs/>
                <w:color w:val="000000"/>
                <w:sz w:val="22"/>
                <w:szCs w:val="22"/>
              </w:rPr>
              <w:t>, Пушкинская ул., д. 18, кв. 119</w:t>
            </w:r>
          </w:p>
          <w:p w:rsidR="00A039FD" w:rsidRPr="00A039FD" w:rsidRDefault="00A039FD" w:rsidP="00A039FD">
            <w:pPr>
              <w:pStyle w:val="a8"/>
              <w:tabs>
                <w:tab w:val="left" w:pos="-142"/>
              </w:tabs>
              <w:snapToGrid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8080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A039FD" w:rsidRDefault="00544A6A" w:rsidP="00A039FD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  <w:p w:rsidR="00A039FD" w:rsidRPr="00CC0BFE" w:rsidRDefault="00A039FD" w:rsidP="00A039FD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DD6543">
              <w:rPr>
                <w:sz w:val="24"/>
                <w:szCs w:val="24"/>
                <w:shd w:val="clear" w:color="auto" w:fill="FFFFFF"/>
              </w:rPr>
              <w:br/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A039FD">
              <w:rPr>
                <w:b/>
                <w:bCs/>
                <w:sz w:val="24"/>
                <w:szCs w:val="24"/>
              </w:rPr>
              <w:t>03</w:t>
            </w:r>
            <w:r w:rsidR="00DD6543">
              <w:rPr>
                <w:b/>
                <w:bCs/>
                <w:sz w:val="24"/>
                <w:szCs w:val="24"/>
              </w:rPr>
              <w:t xml:space="preserve">» </w:t>
            </w:r>
            <w:r w:rsidR="00A039FD">
              <w:rPr>
                <w:b/>
                <w:bCs/>
                <w:sz w:val="24"/>
                <w:szCs w:val="24"/>
              </w:rPr>
              <w:t xml:space="preserve">июня </w:t>
            </w:r>
            <w:r w:rsidR="00266614"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B5358F">
              <w:rPr>
                <w:b/>
                <w:bCs/>
                <w:sz w:val="24"/>
                <w:szCs w:val="24"/>
              </w:rPr>
              <w:t>1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FA0E77">
              <w:rPr>
                <w:b/>
                <w:bCs/>
                <w:sz w:val="24"/>
                <w:szCs w:val="24"/>
              </w:rPr>
              <w:t>09</w:t>
            </w:r>
            <w:r w:rsidR="007D7F58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lastRenderedPageBreak/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DD6543" w:rsidRPr="008143EF" w:rsidRDefault="004C1E93" w:rsidP="005E546C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A039FD">
        <w:tc>
          <w:tcPr>
            <w:tcW w:w="2977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6708E2">
              <w:rPr>
                <w:b/>
                <w:bCs/>
                <w:sz w:val="24"/>
                <w:szCs w:val="24"/>
              </w:rPr>
              <w:t>«</w:t>
            </w:r>
            <w:r w:rsidR="0047781F">
              <w:rPr>
                <w:b/>
                <w:bCs/>
                <w:sz w:val="24"/>
                <w:szCs w:val="24"/>
              </w:rPr>
              <w:t>04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A039FD">
              <w:rPr>
                <w:b/>
                <w:bCs/>
                <w:sz w:val="24"/>
                <w:szCs w:val="24"/>
              </w:rPr>
              <w:t>июня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B5358F">
              <w:rPr>
                <w:b/>
                <w:bCs/>
                <w:sz w:val="24"/>
                <w:szCs w:val="24"/>
              </w:rPr>
              <w:t>1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A039FD">
        <w:tc>
          <w:tcPr>
            <w:tcW w:w="2977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B5358F" w:rsidRPr="009E0689" w:rsidRDefault="004C1E93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47781F">
              <w:rPr>
                <w:b/>
                <w:bCs/>
                <w:sz w:val="24"/>
                <w:szCs w:val="24"/>
              </w:rPr>
              <w:t>08</w:t>
            </w:r>
            <w:r w:rsidR="005E546C">
              <w:rPr>
                <w:b/>
                <w:bCs/>
                <w:sz w:val="24"/>
                <w:szCs w:val="24"/>
              </w:rPr>
              <w:t xml:space="preserve">» </w:t>
            </w:r>
            <w:r w:rsidR="00A039FD">
              <w:rPr>
                <w:b/>
                <w:bCs/>
                <w:sz w:val="24"/>
                <w:szCs w:val="24"/>
              </w:rPr>
              <w:t xml:space="preserve">июня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21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EF1930" w:rsidRDefault="004C1E93" w:rsidP="00EF193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</w:t>
            </w:r>
            <w:r w:rsidR="00EF1930">
              <w:rPr>
                <w:sz w:val="24"/>
                <w:szCs w:val="24"/>
              </w:rPr>
              <w:t>второй части заявки документов.</w:t>
            </w:r>
          </w:p>
          <w:p w:rsidR="004C1E93" w:rsidRPr="009E1277" w:rsidRDefault="004C1E93" w:rsidP="00EF193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A039FD">
        <w:tc>
          <w:tcPr>
            <w:tcW w:w="2977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8080" w:type="dxa"/>
          </w:tcPr>
          <w:p w:rsidR="00B5358F" w:rsidRPr="009E0689" w:rsidRDefault="009E1277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Оценка заявок и подведение итогов закупки будет осуществляться на сайте ЭТП в порядке, предусмотренном регламентом работы ЭТП</w:t>
            </w:r>
            <w:proofErr w:type="gramStart"/>
            <w:r w:rsidRPr="009E1277">
              <w:rPr>
                <w:sz w:val="24"/>
                <w:szCs w:val="24"/>
              </w:rPr>
              <w:t xml:space="preserve"> </w:t>
            </w:r>
            <w:r w:rsidR="009E0689">
              <w:rPr>
                <w:sz w:val="24"/>
                <w:szCs w:val="24"/>
              </w:rPr>
              <w:br/>
            </w:r>
            <w:r w:rsidR="006708E2">
              <w:rPr>
                <w:b/>
                <w:bCs/>
                <w:sz w:val="24"/>
                <w:szCs w:val="24"/>
              </w:rPr>
              <w:t xml:space="preserve">  «</w:t>
            </w:r>
            <w:proofErr w:type="gramEnd"/>
            <w:r w:rsidR="00A039FD">
              <w:rPr>
                <w:b/>
                <w:bCs/>
                <w:sz w:val="24"/>
                <w:szCs w:val="24"/>
              </w:rPr>
              <w:t>0</w:t>
            </w:r>
            <w:r w:rsidR="0047781F">
              <w:rPr>
                <w:b/>
                <w:bCs/>
                <w:sz w:val="24"/>
                <w:szCs w:val="24"/>
              </w:rPr>
              <w:t>9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A039FD">
              <w:rPr>
                <w:b/>
                <w:bCs/>
                <w:sz w:val="24"/>
                <w:szCs w:val="24"/>
              </w:rPr>
              <w:t>июня</w:t>
            </w:r>
            <w:r w:rsidR="00B5358F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21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Победителем запроса предложений признается участник запроса предложений, который предложил лучшие условия исполнения договора 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8080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8080" w:type="dxa"/>
          </w:tcPr>
          <w:p w:rsidR="00544A6A" w:rsidRPr="00005021" w:rsidRDefault="00544A6A" w:rsidP="00A039F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="00A039FD">
              <w:rPr>
                <w:sz w:val="24"/>
                <w:szCs w:val="24"/>
              </w:rPr>
              <w:t>выполняемых работ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8080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8080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11-12 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8080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9E1277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8080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A039FD">
        <w:tc>
          <w:tcPr>
            <w:tcW w:w="2977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8080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745A67" w:rsidRDefault="00003B5C" w:rsidP="00745A67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="00745A67"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</w:t>
      </w:r>
      <w:r w:rsidR="00745A67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>а</w:t>
      </w:r>
    </w:p>
    <w:p w:rsidR="007363F6" w:rsidRPr="00C175F8" w:rsidRDefault="00713BE1" w:rsidP="00F357A7">
      <w:pPr>
        <w:spacing w:before="100" w:after="100"/>
        <w:contextualSpacing/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по </w:t>
      </w:r>
      <w:r w:rsidR="00A039FD">
        <w:rPr>
          <w:b/>
          <w:sz w:val="26"/>
          <w:szCs w:val="26"/>
        </w:rPr>
        <w:t>капитальному ремонту</w:t>
      </w:r>
      <w:r w:rsidR="009E0689">
        <w:rPr>
          <w:b/>
          <w:sz w:val="26"/>
          <w:szCs w:val="26"/>
        </w:rPr>
        <w:t xml:space="preserve">                                                  </w:t>
      </w:r>
      <w:r>
        <w:rPr>
          <w:b/>
          <w:sz w:val="26"/>
          <w:szCs w:val="26"/>
        </w:rPr>
        <w:t xml:space="preserve">                            </w:t>
      </w:r>
      <w:r w:rsidR="009E0689">
        <w:rPr>
          <w:b/>
          <w:sz w:val="26"/>
          <w:szCs w:val="26"/>
        </w:rPr>
        <w:t xml:space="preserve">  </w:t>
      </w:r>
      <w:proofErr w:type="spellStart"/>
      <w:r w:rsidR="00A039FD">
        <w:rPr>
          <w:b/>
          <w:bCs/>
          <w:sz w:val="26"/>
          <w:szCs w:val="26"/>
        </w:rPr>
        <w:t>В.А.Носов</w:t>
      </w:r>
      <w:proofErr w:type="spellEnd"/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D21"/>
    <w:rsid w:val="000F18B3"/>
    <w:rsid w:val="000F2544"/>
    <w:rsid w:val="0010626D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1AF0"/>
    <w:rsid w:val="001636DF"/>
    <w:rsid w:val="001644CE"/>
    <w:rsid w:val="00171356"/>
    <w:rsid w:val="0017497C"/>
    <w:rsid w:val="00176B86"/>
    <w:rsid w:val="00181E82"/>
    <w:rsid w:val="001933B5"/>
    <w:rsid w:val="0019666B"/>
    <w:rsid w:val="001A2460"/>
    <w:rsid w:val="001A33FE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5D12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2243D"/>
    <w:rsid w:val="00422BF3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31E"/>
    <w:rsid w:val="0047781F"/>
    <w:rsid w:val="00477F25"/>
    <w:rsid w:val="004822B7"/>
    <w:rsid w:val="004835BE"/>
    <w:rsid w:val="00491FBE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46C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067"/>
    <w:rsid w:val="00657CBF"/>
    <w:rsid w:val="00661AF1"/>
    <w:rsid w:val="00662F0D"/>
    <w:rsid w:val="006708E2"/>
    <w:rsid w:val="00672AAD"/>
    <w:rsid w:val="006762B3"/>
    <w:rsid w:val="00685901"/>
    <w:rsid w:val="006A7586"/>
    <w:rsid w:val="006B1BF9"/>
    <w:rsid w:val="006C087F"/>
    <w:rsid w:val="006C226E"/>
    <w:rsid w:val="006C7F82"/>
    <w:rsid w:val="006F3FB8"/>
    <w:rsid w:val="0070040F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91CA1"/>
    <w:rsid w:val="00792B4A"/>
    <w:rsid w:val="007A2D6E"/>
    <w:rsid w:val="007C3278"/>
    <w:rsid w:val="007C72C0"/>
    <w:rsid w:val="007D31AE"/>
    <w:rsid w:val="007D599B"/>
    <w:rsid w:val="007D5EEA"/>
    <w:rsid w:val="007D7D65"/>
    <w:rsid w:val="007D7F58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3A5B"/>
    <w:rsid w:val="008B5FA7"/>
    <w:rsid w:val="008C3E3A"/>
    <w:rsid w:val="008D4F5D"/>
    <w:rsid w:val="008D4FEB"/>
    <w:rsid w:val="008E14E6"/>
    <w:rsid w:val="008E23DE"/>
    <w:rsid w:val="00902E56"/>
    <w:rsid w:val="00903A59"/>
    <w:rsid w:val="0090483B"/>
    <w:rsid w:val="00912E57"/>
    <w:rsid w:val="009152D8"/>
    <w:rsid w:val="0091672D"/>
    <w:rsid w:val="00917BE9"/>
    <w:rsid w:val="00920EB2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605"/>
    <w:rsid w:val="009F0D51"/>
    <w:rsid w:val="00A009C9"/>
    <w:rsid w:val="00A039FD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282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358F"/>
    <w:rsid w:val="00B5721B"/>
    <w:rsid w:val="00B607DE"/>
    <w:rsid w:val="00B62B29"/>
    <w:rsid w:val="00B63192"/>
    <w:rsid w:val="00B66563"/>
    <w:rsid w:val="00B7302C"/>
    <w:rsid w:val="00B8068B"/>
    <w:rsid w:val="00B842DF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68EC"/>
    <w:rsid w:val="00CB1A09"/>
    <w:rsid w:val="00CB693C"/>
    <w:rsid w:val="00CC0BFE"/>
    <w:rsid w:val="00CD3183"/>
    <w:rsid w:val="00CD6AC9"/>
    <w:rsid w:val="00CE349E"/>
    <w:rsid w:val="00CE6C95"/>
    <w:rsid w:val="00CE74A2"/>
    <w:rsid w:val="00CF73AF"/>
    <w:rsid w:val="00D000C8"/>
    <w:rsid w:val="00D00D48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84140"/>
    <w:rsid w:val="00D92AEF"/>
    <w:rsid w:val="00D96048"/>
    <w:rsid w:val="00D96B4C"/>
    <w:rsid w:val="00DA5212"/>
    <w:rsid w:val="00DA7810"/>
    <w:rsid w:val="00DA7CDE"/>
    <w:rsid w:val="00DB0995"/>
    <w:rsid w:val="00DB0D9F"/>
    <w:rsid w:val="00DB3B1E"/>
    <w:rsid w:val="00DB6DC7"/>
    <w:rsid w:val="00DC3777"/>
    <w:rsid w:val="00DC7373"/>
    <w:rsid w:val="00DD5174"/>
    <w:rsid w:val="00DD6543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1930"/>
    <w:rsid w:val="00EF5E42"/>
    <w:rsid w:val="00EF6D5B"/>
    <w:rsid w:val="00EF6EB4"/>
    <w:rsid w:val="00F03D13"/>
    <w:rsid w:val="00F04B95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701C1"/>
    <w:rsid w:val="00F86189"/>
    <w:rsid w:val="00F9568C"/>
    <w:rsid w:val="00FA0E77"/>
    <w:rsid w:val="00FA43BF"/>
    <w:rsid w:val="00FA4D56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aliases w:val="Table-Normal,RSHB_Table-Normal,UL,Абзац маркированнный,Bullet List,FooterText,numbered,Предусловия,1. Абзац списка,Нумерованный список_ФТ,Булет 1,Bullet Number,Нумерованый список,lp1,lp11,List Paragraph11,Bullet 1,Абзац,L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aliases w:val="Table-Normal Знак,RSHB_Table-Normal Знак,UL Знак,Абзац маркированнный Знак,Bullet List Знак,FooterText Знак,numbered Знак,Предусловия Знак,1. Абзац списка Знак,Нумерованный список_ФТ Знак,Булет 1 Знак,Bullet Number Знак,lp1 Знак,L Знак"/>
    <w:link w:val="a8"/>
    <w:uiPriority w:val="34"/>
    <w:qFormat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5260E-452F-4F8B-8AE7-FFDA0832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394</TotalTime>
  <Pages>3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8286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54</cp:revision>
  <cp:lastPrinted>2018-11-28T08:43:00Z</cp:lastPrinted>
  <dcterms:created xsi:type="dcterms:W3CDTF">2018-07-10T12:26:00Z</dcterms:created>
  <dcterms:modified xsi:type="dcterms:W3CDTF">2021-05-26T13:46:00Z</dcterms:modified>
</cp:coreProperties>
</file>